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rPr>
          <w:rFonts w:asciiTheme="majorEastAsia" w:hAnsiTheme="majorEastAsia" w:eastAsiaTheme="majorEastAsia"/>
          <w:b/>
          <w:color w:val="000000" w:themeColor="text1"/>
          <w:sz w:val="44"/>
          <w:szCs w:val="44"/>
        </w:rPr>
      </w:pPr>
    </w:p>
    <w:p>
      <w:pPr>
        <w:pStyle w:val="5"/>
        <w:keepNext w:val="0"/>
        <w:keepLines w:val="0"/>
        <w:adjustRightInd w:val="0"/>
        <w:snapToGrid w:val="0"/>
        <w:spacing w:before="0" w:after="0" w:line="800" w:lineRule="exact"/>
        <w:jc w:val="center"/>
        <w:textAlignment w:val="baseline"/>
        <w:rPr>
          <w:rFonts w:asciiTheme="majorEastAsia" w:hAnsiTheme="majorEastAsia" w:eastAsiaTheme="majorEastAsia"/>
          <w:color w:val="000000" w:themeColor="text1"/>
          <w:spacing w:val="-10"/>
        </w:rPr>
      </w:pPr>
      <w:r>
        <w:rPr>
          <w:rFonts w:asciiTheme="majorEastAsia" w:hAnsiTheme="majorEastAsia" w:eastAsiaTheme="majorEastAsia"/>
          <w:color w:val="000000" w:themeColor="text1"/>
          <w:spacing w:val="-10"/>
          <w:sz w:val="48"/>
          <w:szCs w:val="48"/>
        </w:rPr>
        <w:t>南通农副产品物流中心电梯日常维护保养服务</w:t>
      </w:r>
    </w:p>
    <w:p>
      <w:pPr>
        <w:spacing w:beforeLines="50" w:afterLines="50" w:line="360" w:lineRule="auto"/>
        <w:jc w:val="center"/>
        <w:rPr>
          <w:rFonts w:asciiTheme="majorEastAsia" w:hAnsiTheme="majorEastAsia" w:eastAsiaTheme="majorEastAsia"/>
          <w:b/>
          <w:color w:val="000000" w:themeColor="text1"/>
          <w:sz w:val="84"/>
          <w:szCs w:val="84"/>
        </w:rPr>
      </w:pPr>
    </w:p>
    <w:p>
      <w:pPr>
        <w:spacing w:beforeLines="50" w:afterLines="50" w:line="360" w:lineRule="auto"/>
        <w:jc w:val="center"/>
        <w:rPr>
          <w:rFonts w:asciiTheme="majorEastAsia" w:hAnsiTheme="majorEastAsia" w:eastAsiaTheme="majorEastAsia"/>
          <w:b/>
          <w:color w:val="000000" w:themeColor="text1"/>
          <w:sz w:val="84"/>
          <w:szCs w:val="84"/>
        </w:rPr>
      </w:pPr>
      <w:r>
        <w:rPr>
          <w:rFonts w:hint="eastAsia" w:asciiTheme="majorEastAsia" w:hAnsiTheme="majorEastAsia" w:eastAsiaTheme="majorEastAsia"/>
          <w:b/>
          <w:color w:val="000000" w:themeColor="text1"/>
          <w:sz w:val="84"/>
          <w:szCs w:val="84"/>
        </w:rPr>
        <w:t>竞争性磋商文件</w:t>
      </w:r>
    </w:p>
    <w:p>
      <w:pPr>
        <w:spacing w:beforeLines="50" w:afterLines="50" w:line="360" w:lineRule="auto"/>
        <w:rPr>
          <w:rFonts w:asciiTheme="majorEastAsia" w:hAnsiTheme="majorEastAsia" w:eastAsiaTheme="majorEastAsia"/>
          <w:color w:val="000000" w:themeColor="text1"/>
          <w:sz w:val="28"/>
          <w:szCs w:val="28"/>
        </w:rPr>
      </w:pPr>
    </w:p>
    <w:p>
      <w:pPr>
        <w:spacing w:beforeLines="50" w:afterLines="50" w:line="360" w:lineRule="auto"/>
        <w:rPr>
          <w:rFonts w:asciiTheme="majorEastAsia" w:hAnsiTheme="majorEastAsia" w:eastAsiaTheme="majorEastAsia"/>
          <w:b/>
          <w:color w:val="000000" w:themeColor="text1"/>
          <w:sz w:val="32"/>
          <w:szCs w:val="32"/>
        </w:rPr>
      </w:pPr>
    </w:p>
    <w:p>
      <w:pPr>
        <w:spacing w:beforeLines="50" w:afterLines="50" w:line="360" w:lineRule="auto"/>
        <w:rPr>
          <w:rFonts w:asciiTheme="majorEastAsia" w:hAnsiTheme="majorEastAsia" w:eastAsiaTheme="majorEastAsia"/>
          <w:b/>
          <w:color w:val="000000" w:themeColor="text1"/>
          <w:sz w:val="32"/>
          <w:szCs w:val="32"/>
        </w:rPr>
      </w:pPr>
    </w:p>
    <w:p>
      <w:pPr>
        <w:spacing w:beforeLines="50" w:afterLines="50" w:line="360" w:lineRule="auto"/>
        <w:rPr>
          <w:rFonts w:asciiTheme="majorEastAsia" w:hAnsiTheme="majorEastAsia" w:eastAsiaTheme="majorEastAsia"/>
          <w:b/>
          <w:color w:val="000000" w:themeColor="text1"/>
          <w:sz w:val="32"/>
          <w:szCs w:val="32"/>
        </w:rPr>
      </w:pPr>
    </w:p>
    <w:p>
      <w:pPr>
        <w:spacing w:beforeLines="100" w:afterLines="100" w:line="360" w:lineRule="auto"/>
        <w:ind w:firstLine="708" w:firstLineChars="196"/>
        <w:rPr>
          <w:rFonts w:asciiTheme="majorEastAsia" w:hAnsiTheme="majorEastAsia" w:eastAsiaTheme="majorEastAsia"/>
          <w:b/>
          <w:color w:val="000000" w:themeColor="text1"/>
          <w:sz w:val="36"/>
          <w:szCs w:val="36"/>
        </w:rPr>
      </w:pPr>
    </w:p>
    <w:p>
      <w:pPr>
        <w:spacing w:beforeLines="100" w:afterLines="100" w:line="360" w:lineRule="auto"/>
        <w:ind w:firstLine="708" w:firstLineChars="196"/>
        <w:rPr>
          <w:rFonts w:asciiTheme="majorEastAsia" w:hAnsiTheme="majorEastAsia" w:eastAsiaTheme="majorEastAsia"/>
          <w:b/>
          <w:color w:val="000000" w:themeColor="text1"/>
          <w:sz w:val="36"/>
          <w:szCs w:val="36"/>
        </w:rPr>
      </w:pPr>
    </w:p>
    <w:p>
      <w:pPr>
        <w:spacing w:beforeLines="100" w:afterLines="100" w:line="360" w:lineRule="auto"/>
        <w:rPr>
          <w:rFonts w:asciiTheme="majorEastAsia" w:hAnsiTheme="majorEastAsia" w:eastAsiaTheme="majorEastAsia"/>
          <w:b/>
          <w:sz w:val="36"/>
          <w:szCs w:val="36"/>
        </w:rPr>
      </w:pPr>
    </w:p>
    <w:p>
      <w:pPr>
        <w:spacing w:beforeLines="100" w:afterLines="100" w:line="360" w:lineRule="auto"/>
        <w:ind w:firstLine="708" w:firstLineChars="196"/>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采购单位：南通农副产品物流有限公司</w:t>
      </w:r>
    </w:p>
    <w:p>
      <w:pPr>
        <w:spacing w:beforeLines="100" w:afterLines="100" w:line="360" w:lineRule="auto"/>
        <w:ind w:firstLine="708" w:firstLineChars="196"/>
        <w:jc w:val="center"/>
        <w:rPr>
          <w:rFonts w:asciiTheme="majorEastAsia" w:hAnsiTheme="majorEastAsia" w:eastAsiaTheme="majorEastAsia"/>
          <w:b/>
          <w:sz w:val="36"/>
          <w:szCs w:val="36"/>
        </w:rPr>
      </w:pPr>
      <w:r>
        <w:rPr>
          <w:rFonts w:hint="eastAsia" w:asciiTheme="majorEastAsia" w:hAnsiTheme="majorEastAsia" w:eastAsiaTheme="majorEastAsia"/>
          <w:b/>
          <w:color w:val="000000" w:themeColor="text1"/>
          <w:sz w:val="36"/>
          <w:szCs w:val="36"/>
        </w:rPr>
        <w:t>代理机构：南通通城</w:t>
      </w:r>
      <w:r>
        <w:rPr>
          <w:rFonts w:hint="eastAsia" w:asciiTheme="majorEastAsia" w:hAnsiTheme="majorEastAsia" w:eastAsiaTheme="majorEastAsia"/>
          <w:b/>
          <w:sz w:val="36"/>
          <w:szCs w:val="36"/>
        </w:rPr>
        <w:t>建设工程项目管理有限公司</w:t>
      </w:r>
    </w:p>
    <w:p>
      <w:pPr>
        <w:spacing w:beforeLines="100" w:afterLines="100" w:line="360" w:lineRule="auto"/>
        <w:ind w:firstLine="708" w:firstLineChars="196"/>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日期：2019年12月20日</w:t>
      </w:r>
    </w:p>
    <w:p>
      <w:pPr>
        <w:spacing w:beforeLines="100" w:afterLines="100" w:line="360" w:lineRule="auto"/>
        <w:ind w:firstLine="708" w:firstLineChars="196"/>
        <w:rPr>
          <w:rFonts w:asciiTheme="majorEastAsia" w:hAnsiTheme="majorEastAsia" w:eastAsiaTheme="majorEastAsia"/>
          <w:b/>
          <w:color w:val="000000" w:themeColor="text1"/>
          <w:sz w:val="36"/>
          <w:szCs w:val="36"/>
        </w:rPr>
      </w:pPr>
      <w:r>
        <w:rPr>
          <w:rFonts w:asciiTheme="majorEastAsia" w:hAnsiTheme="majorEastAsia" w:eastAsiaTheme="majorEastAsia"/>
          <w:b/>
          <w:color w:val="000000" w:themeColor="text1"/>
          <w:sz w:val="36"/>
          <w:szCs w:val="36"/>
        </w:rPr>
        <w:br w:type="page"/>
      </w:r>
    </w:p>
    <w:p>
      <w:pPr>
        <w:pStyle w:val="28"/>
        <w:jc w:val="center"/>
        <w:rPr>
          <w:rFonts w:asciiTheme="majorEastAsia" w:hAnsiTheme="majorEastAsia" w:eastAsiaTheme="majorEastAsia"/>
          <w:color w:val="000000" w:themeColor="text1"/>
          <w:sz w:val="32"/>
          <w:szCs w:val="32"/>
        </w:rPr>
      </w:pPr>
      <w:r>
        <w:rPr>
          <w:rFonts w:hint="eastAsia" w:asciiTheme="majorEastAsia" w:hAnsiTheme="majorEastAsia" w:eastAsiaTheme="majorEastAsia"/>
          <w:color w:val="000000" w:themeColor="text1"/>
          <w:sz w:val="32"/>
          <w:szCs w:val="32"/>
          <w:lang w:val="zh-CN"/>
        </w:rPr>
        <w:t>目录</w:t>
      </w:r>
    </w:p>
    <w:p>
      <w:pPr>
        <w:pStyle w:val="16"/>
        <w:tabs>
          <w:tab w:val="right" w:leader="dot" w:pos="9344"/>
        </w:tabs>
        <w:rPr>
          <w:rFonts w:asciiTheme="majorEastAsia" w:hAnsiTheme="majorEastAsia" w:eastAsiaTheme="majorEastAsia" w:cstheme="minorBidi"/>
          <w:color w:val="000000" w:themeColor="text1"/>
        </w:rPr>
      </w:pPr>
      <w:r>
        <w:rPr>
          <w:rFonts w:asciiTheme="majorEastAsia" w:hAnsiTheme="majorEastAsia" w:eastAsiaTheme="majorEastAsia"/>
          <w:color w:val="000000" w:themeColor="text1"/>
          <w:sz w:val="28"/>
          <w:szCs w:val="28"/>
        </w:rPr>
        <w:fldChar w:fldCharType="begin"/>
      </w:r>
      <w:r>
        <w:rPr>
          <w:rFonts w:asciiTheme="majorEastAsia" w:hAnsiTheme="majorEastAsia" w:eastAsiaTheme="majorEastAsia"/>
          <w:color w:val="000000" w:themeColor="text1"/>
          <w:sz w:val="28"/>
          <w:szCs w:val="28"/>
        </w:rPr>
        <w:instrText xml:space="preserve"> TOC \o "1-3" \h \z \u </w:instrText>
      </w:r>
      <w:r>
        <w:rPr>
          <w:rFonts w:asciiTheme="majorEastAsia" w:hAnsiTheme="majorEastAsia" w:eastAsiaTheme="majorEastAsia"/>
          <w:color w:val="000000" w:themeColor="text1"/>
          <w:sz w:val="28"/>
          <w:szCs w:val="28"/>
        </w:rPr>
        <w:fldChar w:fldCharType="separate"/>
      </w:r>
      <w:r>
        <w:fldChar w:fldCharType="begin"/>
      </w:r>
      <w:r>
        <w:instrText xml:space="preserve"> HYPERLINK \l "_Toc517717025" </w:instrText>
      </w:r>
      <w:r>
        <w:fldChar w:fldCharType="separate"/>
      </w:r>
      <w:r>
        <w:rPr>
          <w:rStyle w:val="23"/>
          <w:rFonts w:hint="eastAsia" w:asciiTheme="majorEastAsia" w:hAnsiTheme="majorEastAsia" w:eastAsiaTheme="majorEastAsia"/>
          <w:color w:val="000000" w:themeColor="text1"/>
        </w:rPr>
        <w:t>第一章招标公告</w:t>
      </w:r>
      <w:r>
        <w:rPr>
          <w:rFonts w:asciiTheme="majorEastAsia" w:hAnsiTheme="majorEastAsia" w:eastAsiaTheme="majorEastAsia"/>
          <w:color w:val="000000" w:themeColor="text1"/>
        </w:rPr>
        <w:tab/>
      </w:r>
      <w:r>
        <w:rPr>
          <w:rFonts w:asciiTheme="majorEastAsia" w:hAnsiTheme="majorEastAsia" w:eastAsiaTheme="majorEastAsia"/>
          <w:color w:val="000000" w:themeColor="text1"/>
        </w:rPr>
        <w:fldChar w:fldCharType="begin"/>
      </w:r>
      <w:r>
        <w:rPr>
          <w:rFonts w:asciiTheme="majorEastAsia" w:hAnsiTheme="majorEastAsia" w:eastAsiaTheme="majorEastAsia"/>
          <w:color w:val="000000" w:themeColor="text1"/>
        </w:rPr>
        <w:instrText xml:space="preserve"> PAGEREF _Toc517717025 \h </w:instrText>
      </w:r>
      <w:r>
        <w:rPr>
          <w:rFonts w:asciiTheme="majorEastAsia" w:hAnsiTheme="majorEastAsia" w:eastAsiaTheme="majorEastAsia"/>
          <w:color w:val="000000" w:themeColor="text1"/>
        </w:rPr>
        <w:fldChar w:fldCharType="separate"/>
      </w:r>
      <w:r>
        <w:rPr>
          <w:rFonts w:asciiTheme="majorEastAsia" w:hAnsiTheme="majorEastAsia" w:eastAsiaTheme="majorEastAsia"/>
          <w:color w:val="000000" w:themeColor="text1"/>
        </w:rPr>
        <w:t>4</w:t>
      </w:r>
      <w:r>
        <w:rPr>
          <w:rFonts w:asciiTheme="majorEastAsia" w:hAnsiTheme="majorEastAsia" w:eastAsiaTheme="majorEastAsia"/>
          <w:color w:val="000000" w:themeColor="text1"/>
        </w:rPr>
        <w:fldChar w:fldCharType="end"/>
      </w:r>
      <w:r>
        <w:rPr>
          <w:rFonts w:asciiTheme="majorEastAsia" w:hAnsiTheme="majorEastAsia" w:eastAsiaTheme="majorEastAsia"/>
          <w:color w:val="000000" w:themeColor="text1"/>
        </w:rPr>
        <w:fldChar w:fldCharType="end"/>
      </w:r>
    </w:p>
    <w:p>
      <w:pPr>
        <w:pStyle w:val="16"/>
        <w:tabs>
          <w:tab w:val="right" w:leader="dot" w:pos="9344"/>
        </w:tabs>
        <w:rPr>
          <w:rFonts w:asciiTheme="majorEastAsia" w:hAnsiTheme="majorEastAsia" w:eastAsiaTheme="majorEastAsia" w:cstheme="minorBidi"/>
          <w:color w:val="000000" w:themeColor="text1"/>
        </w:rPr>
      </w:pPr>
      <w:r>
        <w:fldChar w:fldCharType="begin"/>
      </w:r>
      <w:r>
        <w:instrText xml:space="preserve"> HYPERLINK \l "_Toc517717026" </w:instrText>
      </w:r>
      <w:r>
        <w:fldChar w:fldCharType="separate"/>
      </w:r>
      <w:r>
        <w:rPr>
          <w:rStyle w:val="23"/>
          <w:rFonts w:hint="eastAsia" w:asciiTheme="majorEastAsia" w:hAnsiTheme="majorEastAsia" w:eastAsiaTheme="majorEastAsia"/>
          <w:color w:val="000000" w:themeColor="text1"/>
        </w:rPr>
        <w:t>第二章磋商供应商须知</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7</w:t>
      </w:r>
      <w:r>
        <w:rPr>
          <w:rFonts w:hint="eastAsia" w:asciiTheme="majorEastAsia" w:hAnsiTheme="majorEastAsia" w:eastAsiaTheme="majorEastAsia"/>
          <w:color w:val="000000" w:themeColor="text1"/>
        </w:rPr>
        <w:fldChar w:fldCharType="end"/>
      </w:r>
    </w:p>
    <w:p>
      <w:pPr>
        <w:pStyle w:val="16"/>
        <w:tabs>
          <w:tab w:val="right" w:leader="dot" w:pos="9344"/>
        </w:tabs>
        <w:rPr>
          <w:rFonts w:asciiTheme="majorEastAsia" w:hAnsiTheme="majorEastAsia" w:eastAsiaTheme="majorEastAsia"/>
          <w:color w:val="000000" w:themeColor="text1"/>
        </w:rPr>
      </w:pPr>
      <w:r>
        <w:fldChar w:fldCharType="begin"/>
      </w:r>
      <w:r>
        <w:instrText xml:space="preserve"> HYPERLINK \l "_Toc517717027" </w:instrText>
      </w:r>
      <w:r>
        <w:fldChar w:fldCharType="separate"/>
      </w:r>
      <w:r>
        <w:rPr>
          <w:rStyle w:val="23"/>
          <w:rFonts w:hint="eastAsia" w:asciiTheme="majorEastAsia" w:hAnsiTheme="majorEastAsia" w:eastAsiaTheme="majorEastAsia"/>
          <w:color w:val="000000" w:themeColor="text1"/>
        </w:rPr>
        <w:t>第三章采购需求</w:t>
      </w:r>
      <w:r>
        <w:rPr>
          <w:rFonts w:asciiTheme="majorEastAsia" w:hAnsiTheme="majorEastAsia" w:eastAsiaTheme="majorEastAsia"/>
          <w:color w:val="000000" w:themeColor="text1"/>
        </w:rPr>
        <w:tab/>
      </w:r>
      <w:r>
        <w:rPr>
          <w:rFonts w:asciiTheme="majorEastAsia" w:hAnsiTheme="majorEastAsia" w:eastAsiaTheme="majorEastAsia"/>
          <w:color w:val="000000" w:themeColor="text1"/>
        </w:rPr>
        <w:fldChar w:fldCharType="begin"/>
      </w:r>
      <w:r>
        <w:rPr>
          <w:rFonts w:asciiTheme="majorEastAsia" w:hAnsiTheme="majorEastAsia" w:eastAsiaTheme="majorEastAsia"/>
          <w:color w:val="000000" w:themeColor="text1"/>
        </w:rPr>
        <w:instrText xml:space="preserve"> PAGEREF _Toc517717027 \h </w:instrText>
      </w:r>
      <w:r>
        <w:rPr>
          <w:rFonts w:asciiTheme="majorEastAsia" w:hAnsiTheme="majorEastAsia" w:eastAsiaTheme="majorEastAsia"/>
          <w:color w:val="000000" w:themeColor="text1"/>
        </w:rPr>
        <w:fldChar w:fldCharType="separate"/>
      </w:r>
      <w:r>
        <w:rPr>
          <w:rFonts w:asciiTheme="majorEastAsia" w:hAnsiTheme="majorEastAsia" w:eastAsiaTheme="majorEastAsia"/>
          <w:color w:val="000000" w:themeColor="text1"/>
        </w:rPr>
        <w:t>1</w:t>
      </w:r>
      <w:r>
        <w:rPr>
          <w:rFonts w:hint="eastAsia" w:asciiTheme="majorEastAsia" w:hAnsiTheme="majorEastAsia" w:eastAsiaTheme="majorEastAsia"/>
          <w:color w:val="000000" w:themeColor="text1"/>
        </w:rPr>
        <w:t>2</w:t>
      </w:r>
      <w:r>
        <w:rPr>
          <w:rFonts w:asciiTheme="majorEastAsia" w:hAnsiTheme="majorEastAsia" w:eastAsiaTheme="majorEastAsia"/>
          <w:color w:val="000000" w:themeColor="text1"/>
        </w:rPr>
        <w:fldChar w:fldCharType="end"/>
      </w:r>
      <w:r>
        <w:rPr>
          <w:rFonts w:asciiTheme="majorEastAsia" w:hAnsiTheme="majorEastAsia" w:eastAsiaTheme="majorEastAsia"/>
          <w:color w:val="000000" w:themeColor="text1"/>
        </w:rPr>
        <w:fldChar w:fldCharType="end"/>
      </w:r>
    </w:p>
    <w:p>
      <w:pPr>
        <w:pStyle w:val="16"/>
        <w:tabs>
          <w:tab w:val="right" w:leader="dot" w:pos="9344"/>
        </w:tabs>
        <w:rPr>
          <w:rFonts w:asciiTheme="majorEastAsia" w:hAnsiTheme="majorEastAsia" w:eastAsiaTheme="majorEastAsia"/>
          <w:color w:val="000000" w:themeColor="text1"/>
        </w:rPr>
      </w:pPr>
      <w:r>
        <w:fldChar w:fldCharType="begin"/>
      </w:r>
      <w:r>
        <w:instrText xml:space="preserve"> HYPERLINK \l "_Toc517717028" </w:instrText>
      </w:r>
      <w:r>
        <w:fldChar w:fldCharType="separate"/>
      </w:r>
      <w:r>
        <w:rPr>
          <w:rStyle w:val="23"/>
          <w:rFonts w:hint="eastAsia" w:asciiTheme="majorEastAsia" w:hAnsiTheme="majorEastAsia" w:eastAsiaTheme="majorEastAsia"/>
          <w:color w:val="000000" w:themeColor="text1"/>
        </w:rPr>
        <w:t>第四章评标办法</w:t>
      </w:r>
      <w:r>
        <w:rPr>
          <w:rFonts w:asciiTheme="majorEastAsia" w:hAnsiTheme="majorEastAsia" w:eastAsiaTheme="majorEastAsia"/>
          <w:color w:val="000000" w:themeColor="text1"/>
        </w:rPr>
        <w:tab/>
      </w:r>
      <w:r>
        <w:rPr>
          <w:rFonts w:asciiTheme="majorEastAsia" w:hAnsiTheme="majorEastAsia" w:eastAsiaTheme="majorEastAsia"/>
          <w:color w:val="000000" w:themeColor="text1"/>
        </w:rPr>
        <w:fldChar w:fldCharType="begin"/>
      </w:r>
      <w:r>
        <w:rPr>
          <w:rFonts w:asciiTheme="majorEastAsia" w:hAnsiTheme="majorEastAsia" w:eastAsiaTheme="majorEastAsia"/>
          <w:color w:val="000000" w:themeColor="text1"/>
        </w:rPr>
        <w:instrText xml:space="preserve"> PAGEREF _Toc517717028 \h </w:instrText>
      </w:r>
      <w:r>
        <w:rPr>
          <w:rFonts w:asciiTheme="majorEastAsia" w:hAnsiTheme="majorEastAsia" w:eastAsiaTheme="majorEastAsia"/>
          <w:color w:val="000000" w:themeColor="text1"/>
        </w:rPr>
        <w:fldChar w:fldCharType="separate"/>
      </w:r>
      <w:r>
        <w:rPr>
          <w:rFonts w:asciiTheme="majorEastAsia" w:hAnsiTheme="majorEastAsia" w:eastAsiaTheme="majorEastAsia"/>
          <w:color w:val="000000" w:themeColor="text1"/>
        </w:rPr>
        <w:t>1</w:t>
      </w:r>
      <w:r>
        <w:rPr>
          <w:rFonts w:asciiTheme="majorEastAsia" w:hAnsiTheme="majorEastAsia" w:eastAsiaTheme="majorEastAsia"/>
          <w:color w:val="000000" w:themeColor="text1"/>
        </w:rPr>
        <w:fldChar w:fldCharType="end"/>
      </w:r>
      <w:r>
        <w:rPr>
          <w:rFonts w:asciiTheme="majorEastAsia" w:hAnsiTheme="majorEastAsia" w:eastAsiaTheme="majorEastAsia"/>
          <w:color w:val="000000" w:themeColor="text1"/>
        </w:rPr>
        <w:fldChar w:fldCharType="end"/>
      </w:r>
      <w:r>
        <w:rPr>
          <w:rFonts w:hint="eastAsia" w:asciiTheme="majorEastAsia" w:hAnsiTheme="majorEastAsia" w:eastAsiaTheme="majorEastAsia"/>
          <w:color w:val="000000" w:themeColor="text1"/>
        </w:rPr>
        <w:t>4</w:t>
      </w:r>
    </w:p>
    <w:p>
      <w:pPr>
        <w:pStyle w:val="16"/>
        <w:tabs>
          <w:tab w:val="right" w:leader="dot" w:pos="9344"/>
        </w:tabs>
        <w:rPr>
          <w:rFonts w:asciiTheme="majorEastAsia" w:hAnsiTheme="majorEastAsia" w:eastAsiaTheme="majorEastAsia"/>
          <w:color w:val="000000" w:themeColor="text1"/>
        </w:rPr>
      </w:pPr>
      <w:r>
        <w:fldChar w:fldCharType="begin"/>
      </w:r>
      <w:r>
        <w:instrText xml:space="preserve"> HYPERLINK \l "_Toc517717028" </w:instrText>
      </w:r>
      <w:r>
        <w:fldChar w:fldCharType="separate"/>
      </w:r>
      <w:r>
        <w:rPr>
          <w:rStyle w:val="23"/>
          <w:rFonts w:hint="eastAsia" w:asciiTheme="majorEastAsia" w:hAnsiTheme="majorEastAsia" w:eastAsiaTheme="majorEastAsia"/>
          <w:color w:val="000000" w:themeColor="text1"/>
        </w:rPr>
        <w:t>第五章合同主要条款表</w:t>
      </w:r>
      <w:r>
        <w:rPr>
          <w:rFonts w:asciiTheme="majorEastAsia" w:hAnsiTheme="majorEastAsia" w:eastAsiaTheme="majorEastAsia"/>
          <w:color w:val="000000" w:themeColor="text1"/>
        </w:rPr>
        <w:tab/>
      </w:r>
      <w:r>
        <w:rPr>
          <w:rFonts w:hint="eastAsia" w:asciiTheme="majorEastAsia" w:hAnsiTheme="majorEastAsia" w:eastAsiaTheme="majorEastAsia"/>
          <w:color w:val="000000" w:themeColor="text1"/>
        </w:rPr>
        <w:t>2</w:t>
      </w:r>
      <w:r>
        <w:rPr>
          <w:rFonts w:hint="eastAsia" w:asciiTheme="majorEastAsia" w:hAnsiTheme="majorEastAsia" w:eastAsiaTheme="majorEastAsia"/>
          <w:color w:val="000000" w:themeColor="text1"/>
        </w:rPr>
        <w:fldChar w:fldCharType="end"/>
      </w:r>
      <w:r>
        <w:rPr>
          <w:rFonts w:hint="eastAsia" w:asciiTheme="majorEastAsia" w:hAnsiTheme="majorEastAsia" w:eastAsiaTheme="majorEastAsia"/>
          <w:color w:val="000000" w:themeColor="text1"/>
        </w:rPr>
        <w:t>2</w:t>
      </w:r>
    </w:p>
    <w:p>
      <w:pPr>
        <w:pStyle w:val="16"/>
        <w:tabs>
          <w:tab w:val="right" w:leader="dot" w:pos="9344"/>
        </w:tabs>
        <w:rPr>
          <w:rFonts w:asciiTheme="majorEastAsia" w:hAnsiTheme="majorEastAsia" w:eastAsiaTheme="majorEastAsia" w:cstheme="minorBidi"/>
          <w:color w:val="000000" w:themeColor="text1"/>
        </w:rPr>
      </w:pPr>
      <w:r>
        <w:fldChar w:fldCharType="begin"/>
      </w:r>
      <w:r>
        <w:instrText xml:space="preserve"> HYPERLINK \l "_Toc517717029" </w:instrText>
      </w:r>
      <w:r>
        <w:fldChar w:fldCharType="separate"/>
      </w:r>
      <w:r>
        <w:rPr>
          <w:rStyle w:val="23"/>
          <w:rFonts w:hint="eastAsia" w:asciiTheme="majorEastAsia" w:hAnsiTheme="majorEastAsia" w:eastAsiaTheme="majorEastAsia"/>
          <w:color w:val="000000" w:themeColor="text1"/>
        </w:rPr>
        <w:t>第六章投标文件格式</w:t>
      </w:r>
      <w:r>
        <w:rPr>
          <w:rFonts w:asciiTheme="majorEastAsia" w:hAnsiTheme="majorEastAsia" w:eastAsiaTheme="majorEastAsia"/>
          <w:color w:val="000000" w:themeColor="text1"/>
        </w:rPr>
        <w:tab/>
      </w:r>
      <w:r>
        <w:rPr>
          <w:rFonts w:asciiTheme="majorEastAsia" w:hAnsiTheme="majorEastAsia" w:eastAsiaTheme="majorEastAsia"/>
          <w:color w:val="000000" w:themeColor="text1"/>
        </w:rPr>
        <w:fldChar w:fldCharType="end"/>
      </w:r>
      <w:r>
        <w:rPr>
          <w:rFonts w:hint="eastAsia" w:asciiTheme="majorEastAsia" w:hAnsiTheme="majorEastAsia" w:eastAsiaTheme="majorEastAsia"/>
          <w:color w:val="000000" w:themeColor="text1"/>
        </w:rPr>
        <w:t>32</w:t>
      </w:r>
    </w:p>
    <w:p>
      <w:pPr>
        <w:rPr>
          <w:rFonts w:asciiTheme="majorEastAsia" w:hAnsiTheme="majorEastAsia" w:eastAsiaTheme="majorEastAsia"/>
          <w:color w:val="000000" w:themeColor="text1"/>
          <w:sz w:val="28"/>
          <w:szCs w:val="28"/>
        </w:rPr>
      </w:pPr>
      <w:r>
        <w:rPr>
          <w:rFonts w:asciiTheme="majorEastAsia" w:hAnsiTheme="majorEastAsia" w:eastAsiaTheme="majorEastAsia"/>
          <w:color w:val="000000" w:themeColor="text1"/>
          <w:sz w:val="28"/>
          <w:szCs w:val="28"/>
        </w:rPr>
        <w:fldChar w:fldCharType="end"/>
      </w:r>
    </w:p>
    <w:p>
      <w:pPr>
        <w:rPr>
          <w:rFonts w:asciiTheme="majorEastAsia" w:hAnsiTheme="majorEastAsia" w:eastAsiaTheme="majorEastAsia"/>
          <w:color w:val="000000" w:themeColor="text1"/>
          <w:sz w:val="28"/>
          <w:szCs w:val="28"/>
        </w:rPr>
      </w:pPr>
    </w:p>
    <w:p>
      <w:pPr>
        <w:rPr>
          <w:rFonts w:asciiTheme="majorEastAsia" w:hAnsiTheme="majorEastAsia" w:eastAsiaTheme="majorEastAsia"/>
          <w:color w:val="000000" w:themeColor="text1"/>
          <w:sz w:val="28"/>
          <w:szCs w:val="28"/>
        </w:rPr>
      </w:pPr>
    </w:p>
    <w:p>
      <w:pPr>
        <w:widowControl/>
        <w:jc w:val="left"/>
        <w:rPr>
          <w:rFonts w:asciiTheme="majorEastAsia" w:hAnsiTheme="majorEastAsia" w:eastAsiaTheme="majorEastAsia"/>
          <w:color w:val="000000" w:themeColor="text1"/>
          <w:sz w:val="28"/>
          <w:szCs w:val="28"/>
        </w:rPr>
      </w:pPr>
      <w:r>
        <w:rPr>
          <w:rFonts w:asciiTheme="majorEastAsia" w:hAnsiTheme="majorEastAsia" w:eastAsiaTheme="majorEastAsia"/>
          <w:color w:val="000000" w:themeColor="text1"/>
          <w:sz w:val="28"/>
          <w:szCs w:val="28"/>
        </w:rPr>
        <w:br w:type="page"/>
      </w:r>
    </w:p>
    <w:p>
      <w:pPr>
        <w:pStyle w:val="5"/>
        <w:spacing w:before="240" w:after="240" w:line="360" w:lineRule="auto"/>
        <w:jc w:val="center"/>
        <w:rPr>
          <w:rFonts w:asciiTheme="majorEastAsia" w:hAnsiTheme="majorEastAsia" w:eastAsiaTheme="majorEastAsia"/>
          <w:color w:val="000000" w:themeColor="text1"/>
        </w:rPr>
      </w:pPr>
      <w:bookmarkStart w:id="0" w:name="_Toc517717025"/>
      <w:r>
        <w:rPr>
          <w:rFonts w:hint="eastAsia" w:asciiTheme="majorEastAsia" w:hAnsiTheme="majorEastAsia" w:eastAsiaTheme="majorEastAsia"/>
          <w:color w:val="000000" w:themeColor="text1"/>
        </w:rPr>
        <w:t>第一章 竞争性磋商公告</w:t>
      </w:r>
      <w:bookmarkEnd w:id="0"/>
    </w:p>
    <w:p>
      <w:pPr>
        <w:spacing w:line="360" w:lineRule="auto"/>
        <w:ind w:firstLine="480" w:firstLineChars="200"/>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南通通城建设工程项目管理有限公司（以下简称代理机构）受南通农副产品物流有限公司（以下简称采购单位）的委托，对南通农副产品物流中心电梯日常维护保养服务组织竞争性磋商采购，诚邀符合条件的潜在供应商参加该项目的竞争性磋商。</w:t>
      </w:r>
    </w:p>
    <w:p>
      <w:pPr>
        <w:spacing w:line="360" w:lineRule="auto"/>
        <w:ind w:firstLine="482" w:firstLineChars="200"/>
        <w:rPr>
          <w:rFonts w:cs="宋体" w:asciiTheme="majorEastAsia" w:hAnsiTheme="majorEastAsia" w:eastAsiaTheme="majorEastAsia"/>
          <w:b/>
          <w:color w:val="000000" w:themeColor="text1"/>
          <w:sz w:val="24"/>
          <w:szCs w:val="24"/>
          <w:lang w:val="zh-CN"/>
        </w:rPr>
      </w:pPr>
      <w:r>
        <w:rPr>
          <w:rFonts w:hint="eastAsia" w:cs="宋体" w:asciiTheme="majorEastAsia" w:hAnsiTheme="majorEastAsia" w:eastAsiaTheme="majorEastAsia"/>
          <w:b/>
          <w:color w:val="000000" w:themeColor="text1"/>
          <w:sz w:val="24"/>
          <w:szCs w:val="24"/>
          <w:lang w:val="zh-CN"/>
        </w:rPr>
        <w:t>一、项目名称：</w:t>
      </w:r>
    </w:p>
    <w:p>
      <w:pPr>
        <w:spacing w:line="360" w:lineRule="auto"/>
        <w:ind w:firstLine="480" w:firstLineChars="200"/>
        <w:rPr>
          <w:rFonts w:asciiTheme="majorEastAsia" w:hAnsiTheme="majorEastAsia" w:eastAsiaTheme="majorEastAsia"/>
          <w:b/>
          <w:color w:val="000000" w:themeColor="text1"/>
          <w:sz w:val="72"/>
          <w:szCs w:val="72"/>
        </w:rPr>
      </w:pPr>
      <w:r>
        <w:rPr>
          <w:rFonts w:hint="eastAsia" w:cs="宋体" w:asciiTheme="majorEastAsia" w:hAnsiTheme="majorEastAsia" w:eastAsiaTheme="majorEastAsia"/>
          <w:color w:val="000000" w:themeColor="text1"/>
          <w:sz w:val="24"/>
          <w:szCs w:val="24"/>
          <w:lang w:val="zh-CN"/>
        </w:rPr>
        <w:t>项目名称：南通农副产品物流中心电梯日常维护保养服务</w:t>
      </w:r>
    </w:p>
    <w:p>
      <w:pPr>
        <w:spacing w:line="360" w:lineRule="auto"/>
        <w:ind w:firstLine="482" w:firstLineChars="200"/>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b/>
          <w:color w:val="000000" w:themeColor="text1"/>
          <w:sz w:val="24"/>
          <w:szCs w:val="24"/>
        </w:rPr>
        <w:t>二、采购预算：</w:t>
      </w:r>
      <w:r>
        <w:rPr>
          <w:rFonts w:hint="eastAsia" w:cs="宋体" w:asciiTheme="majorEastAsia" w:hAnsiTheme="majorEastAsia" w:eastAsiaTheme="majorEastAsia"/>
          <w:color w:val="000000" w:themeColor="text1"/>
          <w:sz w:val="24"/>
          <w:szCs w:val="24"/>
        </w:rPr>
        <w:t>人民币23.85万元（</w:t>
      </w:r>
      <w:r>
        <w:rPr>
          <w:rFonts w:hint="eastAsia" w:asciiTheme="majorEastAsia" w:hAnsiTheme="majorEastAsia" w:eastAsiaTheme="majorEastAsia"/>
          <w:color w:val="333333"/>
          <w:sz w:val="24"/>
        </w:rPr>
        <w:t>需维保电梯53台），参加竞争性磋商的供应商（以下简称供应商）的报价一旦作为中标价为采购人接受，双方将据此签订本项目范围内的维护保养合同。</w:t>
      </w:r>
    </w:p>
    <w:p>
      <w:pPr>
        <w:spacing w:line="360" w:lineRule="auto"/>
        <w:ind w:firstLine="482" w:firstLineChars="200"/>
        <w:rPr>
          <w:rFonts w:cs="宋体" w:asciiTheme="majorEastAsia" w:hAnsiTheme="majorEastAsia" w:eastAsiaTheme="majorEastAsia"/>
          <w:b/>
          <w:color w:val="000000" w:themeColor="text1"/>
          <w:sz w:val="24"/>
          <w:szCs w:val="24"/>
        </w:rPr>
      </w:pPr>
      <w:r>
        <w:rPr>
          <w:rFonts w:hint="eastAsia" w:cs="宋体" w:asciiTheme="majorEastAsia" w:hAnsiTheme="majorEastAsia" w:eastAsiaTheme="majorEastAsia"/>
          <w:b/>
          <w:color w:val="000000" w:themeColor="text1"/>
          <w:sz w:val="24"/>
          <w:szCs w:val="24"/>
        </w:rPr>
        <w:t>三、项目需求说明：</w:t>
      </w:r>
    </w:p>
    <w:p>
      <w:pPr>
        <w:pStyle w:val="2"/>
        <w:spacing w:after="0" w:line="360" w:lineRule="auto"/>
        <w:ind w:left="0" w:leftChars="0" w:firstLine="480"/>
        <w:rPr>
          <w:rFonts w:asciiTheme="majorEastAsia" w:hAnsiTheme="majorEastAsia" w:eastAsiaTheme="majorEastAsia"/>
          <w:b/>
          <w:bCs/>
          <w:color w:val="FF0000"/>
          <w:sz w:val="24"/>
          <w:szCs w:val="24"/>
        </w:rPr>
      </w:pPr>
      <w:r>
        <w:rPr>
          <w:rFonts w:hint="eastAsia" w:asciiTheme="majorEastAsia" w:hAnsiTheme="majorEastAsia" w:eastAsiaTheme="majorEastAsia"/>
          <w:color w:val="333333"/>
          <w:sz w:val="24"/>
        </w:rPr>
        <w:t>1、服务周期：本次维保期限为1年</w:t>
      </w:r>
      <w:r>
        <w:rPr>
          <w:rFonts w:cs="宋体" w:asciiTheme="majorEastAsia" w:hAnsiTheme="majorEastAsia" w:eastAsiaTheme="majorEastAsia"/>
          <w:color w:val="000000" w:themeColor="text1"/>
          <w:sz w:val="24"/>
          <w:szCs w:val="24"/>
        </w:rPr>
        <w:t>（</w:t>
      </w:r>
      <w:r>
        <w:rPr>
          <w:rFonts w:hint="eastAsia" w:asciiTheme="majorEastAsia" w:hAnsiTheme="majorEastAsia" w:eastAsiaTheme="majorEastAsia"/>
          <w:sz w:val="24"/>
          <w:szCs w:val="24"/>
        </w:rPr>
        <w:t>2020年1月16日—2021年1月15日</w:t>
      </w:r>
      <w:r>
        <w:rPr>
          <w:rFonts w:hint="eastAsia" w:cs="宋体" w:asciiTheme="majorEastAsia" w:hAnsiTheme="majorEastAsia" w:eastAsiaTheme="majorEastAsia"/>
          <w:color w:val="000000" w:themeColor="text1"/>
          <w:sz w:val="24"/>
          <w:szCs w:val="24"/>
        </w:rPr>
        <w:t>，具体维保时间段详见项目需求</w:t>
      </w:r>
      <w:r>
        <w:rPr>
          <w:rFonts w:cs="宋体" w:asciiTheme="majorEastAsia" w:hAnsiTheme="majorEastAsia" w:eastAsiaTheme="majorEastAsia"/>
          <w:color w:val="000000" w:themeColor="text1"/>
          <w:sz w:val="24"/>
          <w:szCs w:val="24"/>
        </w:rPr>
        <w:t>），</w:t>
      </w:r>
      <w:r>
        <w:rPr>
          <w:rFonts w:hint="eastAsia" w:cs="宋体" w:asciiTheme="majorEastAsia" w:hAnsiTheme="majorEastAsia" w:eastAsiaTheme="majorEastAsia"/>
          <w:color w:val="000000" w:themeColor="text1"/>
          <w:sz w:val="24"/>
          <w:szCs w:val="24"/>
        </w:rPr>
        <w:t>自合同签订起生效。成交供应商如在合同期内不能按考核细</w:t>
      </w:r>
      <w:r>
        <w:rPr>
          <w:rFonts w:hint="eastAsia" w:asciiTheme="majorEastAsia" w:hAnsiTheme="majorEastAsia" w:eastAsiaTheme="majorEastAsia"/>
          <w:color w:val="333333"/>
          <w:sz w:val="24"/>
        </w:rPr>
        <w:t>则（即成交供应商投标时的各项服务方案及承诺）履行合同，则采购人有权立即终止合同，另行招标。</w:t>
      </w:r>
    </w:p>
    <w:p>
      <w:pPr>
        <w:spacing w:line="360" w:lineRule="auto"/>
        <w:ind w:firstLine="480" w:firstLineChars="200"/>
        <w:rPr>
          <w:rFonts w:asciiTheme="majorEastAsia" w:hAnsiTheme="majorEastAsia" w:eastAsiaTheme="majorEastAsia"/>
        </w:rPr>
      </w:pPr>
      <w:r>
        <w:rPr>
          <w:rFonts w:hint="eastAsia" w:cs="宋体" w:asciiTheme="majorEastAsia" w:hAnsiTheme="majorEastAsia" w:eastAsiaTheme="majorEastAsia"/>
          <w:color w:val="000000" w:themeColor="text1"/>
          <w:sz w:val="24"/>
          <w:szCs w:val="24"/>
        </w:rPr>
        <w:t>2、付款：</w:t>
      </w:r>
      <w:r>
        <w:rPr>
          <w:rFonts w:hint="eastAsia" w:asciiTheme="majorEastAsia" w:hAnsiTheme="majorEastAsia" w:eastAsiaTheme="majorEastAsia"/>
          <w:color w:val="333333"/>
          <w:sz w:val="24"/>
        </w:rPr>
        <w:t>每季度结算一次。每个结算期满后10日内由中标人提供等额服务费增值税发票、并经采购人审核后付款。</w:t>
      </w:r>
    </w:p>
    <w:p>
      <w:pPr>
        <w:spacing w:line="360" w:lineRule="auto"/>
        <w:ind w:firstLine="480" w:firstLineChars="200"/>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3、维保范围及内容等其他：详见第三章</w:t>
      </w:r>
    </w:p>
    <w:p>
      <w:pPr>
        <w:spacing w:line="360" w:lineRule="auto"/>
        <w:ind w:firstLine="482" w:firstLineChars="200"/>
        <w:rPr>
          <w:rFonts w:cs="宋体" w:asciiTheme="majorEastAsia" w:hAnsiTheme="majorEastAsia" w:eastAsiaTheme="majorEastAsia"/>
          <w:b/>
          <w:color w:val="000000" w:themeColor="text1"/>
          <w:sz w:val="24"/>
          <w:szCs w:val="24"/>
        </w:rPr>
      </w:pPr>
      <w:r>
        <w:rPr>
          <w:rFonts w:hint="eastAsia" w:cs="宋体" w:asciiTheme="majorEastAsia" w:hAnsiTheme="majorEastAsia" w:eastAsiaTheme="majorEastAsia"/>
          <w:b/>
          <w:color w:val="000000" w:themeColor="text1"/>
          <w:sz w:val="24"/>
          <w:szCs w:val="24"/>
        </w:rPr>
        <w:t>四、供应商资格要求 ：</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（一）符合政府采购法第二十二条第一款规定的条件，并提供下列材料：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w:t>
      </w:r>
      <w:r>
        <w:rPr>
          <w:rFonts w:cs="宋体" w:asciiTheme="majorEastAsia" w:hAnsiTheme="majorEastAsia" w:eastAsiaTheme="majorEastAsia"/>
          <w:color w:val="000000" w:themeColor="text1"/>
          <w:sz w:val="24"/>
          <w:szCs w:val="24"/>
        </w:rPr>
        <w:t>法人或者其他组织的营业执照等证明文件，自然人的身份证明；</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2、上一年度的财务状况报告（成立不满一年不需提供）；</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3</w:t>
      </w:r>
      <w:r>
        <w:rPr>
          <w:rFonts w:cs="宋体" w:asciiTheme="majorEastAsia" w:hAnsiTheme="majorEastAsia" w:eastAsiaTheme="majorEastAsia"/>
          <w:color w:val="000000" w:themeColor="text1"/>
          <w:sz w:val="24"/>
          <w:szCs w:val="24"/>
        </w:rPr>
        <w:t>、依法缴纳税收和社会保障资金的相关材料；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4、具备履行合同所必需的设备和专业技术能力的证明材料；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5、参加政府采购活动前3年内在经营活动中没有重大违法记录的书面声明；</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（二）采购人其他要求:</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highlight w:val="magenta"/>
        </w:rPr>
      </w:pPr>
      <w:r>
        <w:rPr>
          <w:rFonts w:hint="eastAsia" w:cs="宋体" w:asciiTheme="majorEastAsia" w:hAnsiTheme="majorEastAsia" w:eastAsiaTheme="majorEastAsia"/>
          <w:color w:val="000000" w:themeColor="text1"/>
          <w:sz w:val="24"/>
          <w:szCs w:val="24"/>
        </w:rPr>
        <w:t>1</w:t>
      </w:r>
      <w:r>
        <w:rPr>
          <w:rFonts w:cs="宋体" w:asciiTheme="majorEastAsia" w:hAnsiTheme="majorEastAsia" w:eastAsiaTheme="majorEastAsia"/>
          <w:color w:val="000000" w:themeColor="text1"/>
          <w:sz w:val="24"/>
          <w:szCs w:val="24"/>
        </w:rPr>
        <w:t>.</w:t>
      </w:r>
      <w:r>
        <w:rPr>
          <w:rFonts w:hint="eastAsia" w:cs="宋体" w:asciiTheme="majorEastAsia" w:hAnsiTheme="majorEastAsia" w:eastAsiaTheme="majorEastAsia"/>
          <w:color w:val="000000" w:themeColor="text1"/>
          <w:sz w:val="24"/>
          <w:szCs w:val="24"/>
        </w:rPr>
        <w:t>具有中华人民共和国特种设备安装改造维修许可证（乘客电梯、载货电梯、液压电梯、自动扶梯）A级资质；</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highlight w:val="green"/>
        </w:rPr>
      </w:pPr>
      <w:r>
        <w:rPr>
          <w:rFonts w:cs="宋体" w:asciiTheme="majorEastAsia" w:hAnsiTheme="majorEastAsia" w:eastAsiaTheme="majorEastAsia"/>
          <w:color w:val="000000" w:themeColor="text1"/>
          <w:sz w:val="24"/>
          <w:szCs w:val="24"/>
        </w:rPr>
        <w:t>2.</w:t>
      </w:r>
      <w:r>
        <w:rPr>
          <w:rFonts w:hint="eastAsia" w:cs="宋体" w:asciiTheme="majorEastAsia" w:hAnsiTheme="majorEastAsia" w:eastAsiaTheme="majorEastAsia"/>
          <w:color w:val="000000" w:themeColor="text1"/>
          <w:sz w:val="24"/>
          <w:szCs w:val="24"/>
        </w:rPr>
        <w:t>质量技术监督局电梯维修保养备案证明文件；</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（三）法定代表人为同一个人的两个及两个以上法人，母公司、全资子公司及其控股公司，都不得在同一采购项目相同标段中同时参加磋商，一经发现，将视同围标处理。</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（四）本项目不接受联合体参与；</w:t>
      </w:r>
    </w:p>
    <w:p>
      <w:pPr>
        <w:snapToGrid w:val="0"/>
        <w:spacing w:line="360" w:lineRule="auto"/>
        <w:ind w:firstLine="482" w:firstLineChars="200"/>
        <w:rPr>
          <w:rFonts w:cs="宋体" w:asciiTheme="majorEastAsia" w:hAnsiTheme="majorEastAsia" w:eastAsiaTheme="majorEastAsia"/>
          <w:b/>
          <w:color w:val="000000" w:themeColor="text1"/>
          <w:sz w:val="24"/>
          <w:szCs w:val="24"/>
          <w:lang w:val="zh-CN"/>
        </w:rPr>
      </w:pPr>
      <w:r>
        <w:rPr>
          <w:rFonts w:hint="eastAsia" w:cs="宋体" w:asciiTheme="majorEastAsia" w:hAnsiTheme="majorEastAsia" w:eastAsiaTheme="majorEastAsia"/>
          <w:b/>
          <w:color w:val="000000" w:themeColor="text1"/>
          <w:sz w:val="24"/>
          <w:szCs w:val="24"/>
          <w:lang w:val="zh-CN"/>
        </w:rPr>
        <w:t>请磋商供应商认真对照资格要求，如不符合要求，无意或故意参与投标的，所产生的一切后果由磋商供应商承担。对提供虚假材料的磋商供应商作无效标处理，磋商保证金不予退还，并报财政部门后将其列入政府采购黑名单，视情公布在南通市公共资源交易网。</w:t>
      </w:r>
    </w:p>
    <w:p>
      <w:pPr>
        <w:pStyle w:val="2"/>
        <w:spacing w:after="0" w:line="360" w:lineRule="auto"/>
        <w:ind w:left="0" w:leftChars="0" w:firstLine="482"/>
        <w:rPr>
          <w:rFonts w:cs="宋体" w:asciiTheme="majorEastAsia" w:hAnsiTheme="majorEastAsia" w:eastAsiaTheme="majorEastAsia"/>
          <w:b/>
          <w:color w:val="000000" w:themeColor="text1"/>
          <w:sz w:val="24"/>
          <w:szCs w:val="24"/>
        </w:rPr>
      </w:pPr>
      <w:r>
        <w:rPr>
          <w:rFonts w:hint="eastAsia" w:cs="宋体" w:asciiTheme="majorEastAsia" w:hAnsiTheme="majorEastAsia" w:eastAsiaTheme="majorEastAsia"/>
          <w:b/>
          <w:color w:val="000000" w:themeColor="text1"/>
          <w:sz w:val="24"/>
          <w:szCs w:val="24"/>
        </w:rPr>
        <w:t>五、磋商保证金</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（1）磋商保证金数额：人民币</w:t>
      </w:r>
      <w:r>
        <w:rPr>
          <w:rFonts w:hint="eastAsia" w:cs="宋体" w:asciiTheme="majorEastAsia" w:hAnsiTheme="majorEastAsia" w:eastAsiaTheme="majorEastAsia"/>
          <w:color w:val="000000" w:themeColor="text1"/>
          <w:sz w:val="24"/>
          <w:szCs w:val="24"/>
          <w:u w:val="single"/>
        </w:rPr>
        <w:t xml:space="preserve">  肆仟圆整（￥4000.00）</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 xml:space="preserve">（2）磋商保证金以 </w:t>
      </w:r>
      <w:r>
        <w:rPr>
          <w:rFonts w:hint="eastAsia" w:cs="仿宋" w:asciiTheme="majorEastAsia" w:hAnsiTheme="majorEastAsia" w:eastAsiaTheme="majorEastAsia"/>
          <w:sz w:val="24"/>
          <w:szCs w:val="24"/>
          <w:u w:val="thick" w:color="FF0000"/>
        </w:rPr>
        <w:t>银行转账</w:t>
      </w:r>
      <w:r>
        <w:rPr>
          <w:rFonts w:hint="eastAsia" w:cs="仿宋" w:asciiTheme="majorEastAsia" w:hAnsiTheme="majorEastAsia" w:eastAsiaTheme="majorEastAsia"/>
          <w:b/>
          <w:sz w:val="24"/>
          <w:szCs w:val="24"/>
          <w:u w:val="thick" w:color="FF0000"/>
        </w:rPr>
        <w:t xml:space="preserve"> </w:t>
      </w:r>
      <w:r>
        <w:rPr>
          <w:rFonts w:hint="eastAsia" w:cs="仿宋" w:asciiTheme="majorEastAsia" w:hAnsiTheme="majorEastAsia" w:eastAsiaTheme="majorEastAsia"/>
          <w:sz w:val="24"/>
          <w:szCs w:val="24"/>
        </w:rPr>
        <w:t>的形式（其他形式概不接收）交纳至采购单位账户。投标保证金账户信息如下：</w:t>
      </w:r>
    </w:p>
    <w:p>
      <w:pPr>
        <w:snapToGrid w:val="0"/>
        <w:spacing w:line="360" w:lineRule="auto"/>
        <w:ind w:firstLine="1296" w:firstLineChars="540"/>
        <w:rPr>
          <w:rFonts w:cs="仿宋" w:asciiTheme="majorEastAsia" w:hAnsiTheme="majorEastAsia" w:eastAsiaTheme="majorEastAsia"/>
          <w:sz w:val="24"/>
          <w:szCs w:val="24"/>
          <w:u w:val="single"/>
        </w:rPr>
      </w:pPr>
      <w:r>
        <w:rPr>
          <w:rFonts w:hint="eastAsia" w:cs="仿宋" w:asciiTheme="majorEastAsia" w:hAnsiTheme="majorEastAsia" w:eastAsiaTheme="majorEastAsia"/>
          <w:sz w:val="24"/>
          <w:szCs w:val="24"/>
        </w:rPr>
        <w:t>收款单位：</w:t>
      </w:r>
      <w:r>
        <w:rPr>
          <w:rFonts w:hint="eastAsia" w:cs="仿宋" w:asciiTheme="majorEastAsia" w:hAnsiTheme="majorEastAsia" w:eastAsiaTheme="majorEastAsia"/>
          <w:sz w:val="24"/>
          <w:szCs w:val="24"/>
          <w:u w:val="single"/>
        </w:rPr>
        <w:t>南通农副产品物流有限公司</w:t>
      </w:r>
    </w:p>
    <w:p>
      <w:pPr>
        <w:snapToGrid w:val="0"/>
        <w:spacing w:line="360" w:lineRule="auto"/>
        <w:ind w:firstLine="1296" w:firstLineChars="540"/>
        <w:rPr>
          <w:rFonts w:cs="仿宋" w:asciiTheme="majorEastAsia" w:hAnsiTheme="majorEastAsia" w:eastAsiaTheme="majorEastAsia"/>
          <w:sz w:val="24"/>
          <w:szCs w:val="24"/>
          <w:u w:val="single"/>
        </w:rPr>
      </w:pPr>
      <w:r>
        <w:rPr>
          <w:rFonts w:hint="eastAsia" w:cs="仿宋" w:asciiTheme="majorEastAsia" w:hAnsiTheme="majorEastAsia" w:eastAsiaTheme="majorEastAsia"/>
          <w:sz w:val="24"/>
          <w:szCs w:val="24"/>
        </w:rPr>
        <w:t>银行账号：</w:t>
      </w:r>
      <w:r>
        <w:rPr>
          <w:rFonts w:hint="eastAsia" w:cs="仿宋" w:asciiTheme="majorEastAsia" w:hAnsiTheme="majorEastAsia" w:eastAsiaTheme="majorEastAsia"/>
          <w:sz w:val="24"/>
          <w:szCs w:val="24"/>
          <w:u w:val="single"/>
        </w:rPr>
        <w:t>工行南通文华支行</w:t>
      </w:r>
    </w:p>
    <w:p>
      <w:pPr>
        <w:snapToGrid w:val="0"/>
        <w:spacing w:line="360" w:lineRule="auto"/>
        <w:ind w:firstLine="1296" w:firstLineChars="54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开户银行：1111822609000067591</w:t>
      </w:r>
    </w:p>
    <w:p>
      <w:pPr>
        <w:pStyle w:val="2"/>
        <w:spacing w:after="0" w:line="360" w:lineRule="auto"/>
        <w:ind w:firstLine="482"/>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特别提醒：各投标人要充分考虑银行进账的时间，采购人将在投标文件截止时间查询供应商的保证金进账情况，未在投标文件截止时间之前转账成功的供应商的投标文件将不予接受。</w:t>
      </w:r>
    </w:p>
    <w:p>
      <w:pPr>
        <w:pStyle w:val="2"/>
        <w:spacing w:after="0" w:line="360" w:lineRule="auto"/>
        <w:ind w:firstLine="0" w:firstLineChars="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（3）未按上述要求提交磋商保证金的供应商，招标采购单位有权拒绝其磋商响应文件。</w:t>
      </w:r>
    </w:p>
    <w:p>
      <w:pPr>
        <w:snapToGrid w:val="0"/>
        <w:spacing w:line="360" w:lineRule="auto"/>
        <w:ind w:firstLine="494" w:firstLineChars="206"/>
        <w:rPr>
          <w:rFonts w:cs="仿宋" w:asciiTheme="majorEastAsia" w:hAnsiTheme="majorEastAsia" w:eastAsiaTheme="majorEastAsia"/>
          <w:b/>
          <w:bCs/>
          <w:color w:val="FF0000"/>
          <w:sz w:val="24"/>
          <w:szCs w:val="24"/>
        </w:rPr>
      </w:pPr>
      <w:r>
        <w:rPr>
          <w:rFonts w:hint="eastAsia" w:cs="仿宋" w:asciiTheme="majorEastAsia" w:hAnsiTheme="majorEastAsia" w:eastAsiaTheme="majorEastAsia"/>
          <w:sz w:val="24"/>
          <w:szCs w:val="24"/>
        </w:rPr>
        <w:t>（4）未成交供应商其磋商保证金，在定标后</w:t>
      </w:r>
      <w:r>
        <w:rPr>
          <w:rFonts w:hint="eastAsia" w:cs="仿宋" w:asciiTheme="majorEastAsia" w:hAnsiTheme="majorEastAsia" w:eastAsiaTheme="majorEastAsia"/>
          <w:sz w:val="24"/>
          <w:szCs w:val="24"/>
          <w:u w:val="single"/>
        </w:rPr>
        <w:t xml:space="preserve"> 7</w:t>
      </w:r>
      <w:r>
        <w:rPr>
          <w:rFonts w:hint="eastAsia" w:cs="仿宋" w:asciiTheme="majorEastAsia" w:hAnsiTheme="majorEastAsia" w:eastAsiaTheme="majorEastAsia"/>
          <w:sz w:val="24"/>
          <w:szCs w:val="24"/>
        </w:rPr>
        <w:t>个工作日内退还（无息）。中标人的磋商保证金直接转为履约保证金，不足部分再转账补足。</w:t>
      </w:r>
    </w:p>
    <w:p>
      <w:pPr>
        <w:spacing w:line="360" w:lineRule="auto"/>
        <w:ind w:firstLine="426" w:firstLineChars="177"/>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六、履约保证金</w:t>
      </w:r>
    </w:p>
    <w:p>
      <w:pPr>
        <w:spacing w:line="360" w:lineRule="auto"/>
        <w:ind w:firstLine="424" w:firstLineChars="177"/>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（1）本项目成交后履约保证金为中标合同价的</w:t>
      </w:r>
      <w:r>
        <w:rPr>
          <w:rFonts w:hint="eastAsia" w:cs="仿宋" w:asciiTheme="majorEastAsia" w:hAnsiTheme="majorEastAsia" w:eastAsiaTheme="majorEastAsia"/>
          <w:sz w:val="24"/>
          <w:szCs w:val="24"/>
          <w:u w:val="single"/>
        </w:rPr>
        <w:t>5%</w:t>
      </w:r>
      <w:r>
        <w:rPr>
          <w:rFonts w:hint="eastAsia" w:cs="仿宋" w:asciiTheme="majorEastAsia" w:hAnsiTheme="majorEastAsia" w:eastAsiaTheme="majorEastAsia"/>
          <w:sz w:val="24"/>
          <w:szCs w:val="24"/>
        </w:rPr>
        <w:t>，成交供应商的磋商保证金自动转为履约保证金，不足部分再转账补足。</w:t>
      </w:r>
    </w:p>
    <w:p>
      <w:pPr>
        <w:snapToGrid w:val="0"/>
        <w:spacing w:line="360" w:lineRule="auto"/>
        <w:ind w:firstLine="482" w:firstLineChars="200"/>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七、项目涉及到的现场勘察</w:t>
      </w:r>
    </w:p>
    <w:p>
      <w:pPr>
        <w:snapToGrid w:val="0"/>
        <w:spacing w:line="420" w:lineRule="exact"/>
        <w:ind w:firstLine="480" w:firstLineChars="200"/>
        <w:rPr>
          <w:rFonts w:cs="仿宋" w:asciiTheme="majorEastAsia" w:hAnsiTheme="majorEastAsia" w:eastAsiaTheme="majorEastAsia"/>
          <w:b/>
          <w:bCs/>
          <w:color w:val="FF0000"/>
          <w:sz w:val="24"/>
          <w:szCs w:val="24"/>
        </w:rPr>
      </w:pPr>
      <w:r>
        <w:rPr>
          <w:rFonts w:hint="eastAsia" w:cs="仿宋" w:asciiTheme="majorEastAsia" w:hAnsiTheme="majorEastAsia" w:eastAsiaTheme="majorEastAsia"/>
          <w:sz w:val="24"/>
          <w:szCs w:val="24"/>
        </w:rPr>
        <w:t>凡有意参与本项目投标响应的供应商，自本项目磋商公告发布之日，应自行前往项目现场勘查情况。投标人承担勘查现场的所有责任和费用；中标后不得以不了解项目现场实际情况为由，要求采购人增加服务费用。</w:t>
      </w:r>
    </w:p>
    <w:p>
      <w:pPr>
        <w:snapToGrid w:val="0"/>
        <w:spacing w:line="360" w:lineRule="auto"/>
        <w:ind w:firstLine="472" w:firstLineChars="196"/>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现场勘察联系人：包先生    联系方式：18061818528</w:t>
      </w:r>
    </w:p>
    <w:p>
      <w:pPr>
        <w:snapToGrid w:val="0"/>
        <w:spacing w:line="360" w:lineRule="auto"/>
        <w:ind w:firstLine="482" w:firstLineChars="200"/>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勘查时间：从发布之日至投标前1日的9：00—15：00（含项目需求答疑）。</w:t>
      </w:r>
    </w:p>
    <w:p>
      <w:pPr>
        <w:shd w:val="clear" w:color="auto" w:fill="FFFFFF"/>
        <w:spacing w:line="360" w:lineRule="auto"/>
        <w:ind w:firstLine="482"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b/>
          <w:color w:val="000000" w:themeColor="text1"/>
          <w:kern w:val="0"/>
          <w:sz w:val="24"/>
        </w:rPr>
        <w:t>八、磋商文件的获取：</w:t>
      </w:r>
      <w:r>
        <w:rPr>
          <w:rFonts w:hint="eastAsia" w:cs="宋体" w:asciiTheme="majorEastAsia" w:hAnsiTheme="majorEastAsia" w:eastAsiaTheme="majorEastAsia"/>
          <w:color w:val="000000" w:themeColor="text1"/>
          <w:kern w:val="0"/>
          <w:sz w:val="24"/>
          <w:szCs w:val="24"/>
        </w:rPr>
        <w:t>南通汽运实业集团有限公司网站（</w:t>
      </w:r>
      <w:r>
        <w:fldChar w:fldCharType="begin"/>
      </w:r>
      <w:r>
        <w:instrText xml:space="preserve"> HYPERLINK "http://www.ntqyjt.com.cn/" </w:instrText>
      </w:r>
      <w:r>
        <w:fldChar w:fldCharType="separate"/>
      </w:r>
      <w:r>
        <w:rPr>
          <w:rStyle w:val="23"/>
          <w:rFonts w:cs="宋体" w:asciiTheme="majorEastAsia" w:hAnsiTheme="majorEastAsia" w:eastAsiaTheme="majorEastAsia"/>
          <w:kern w:val="0"/>
          <w:sz w:val="24"/>
          <w:szCs w:val="24"/>
        </w:rPr>
        <w:t>http://www.ntqyjt.com.cn/</w:t>
      </w:r>
      <w:r>
        <w:rPr>
          <w:rStyle w:val="23"/>
          <w:rFonts w:cs="宋体" w:asciiTheme="majorEastAsia" w:hAnsiTheme="majorEastAsia" w:eastAsiaTheme="majorEastAsia"/>
          <w:kern w:val="0"/>
          <w:sz w:val="24"/>
          <w:szCs w:val="24"/>
        </w:rPr>
        <w:fldChar w:fldCharType="end"/>
      </w:r>
      <w:r>
        <w:rPr>
          <w:rFonts w:hint="eastAsia" w:cs="宋体" w:asciiTheme="majorEastAsia" w:hAnsiTheme="majorEastAsia" w:eastAsiaTheme="majorEastAsia"/>
          <w:color w:val="000000" w:themeColor="text1"/>
          <w:kern w:val="0"/>
          <w:sz w:val="24"/>
          <w:szCs w:val="24"/>
        </w:rPr>
        <w:t>）-公众服务-招标公告栏</w:t>
      </w:r>
      <w:r>
        <w:rPr>
          <w:rFonts w:cs="宋体" w:asciiTheme="majorEastAsia" w:hAnsiTheme="majorEastAsia" w:eastAsiaTheme="majorEastAsia"/>
          <w:color w:val="000000" w:themeColor="text1"/>
          <w:kern w:val="0"/>
          <w:sz w:val="24"/>
          <w:szCs w:val="24"/>
        </w:rPr>
        <w:t>和</w:t>
      </w:r>
      <w:r>
        <w:rPr>
          <w:rFonts w:hint="eastAsia" w:cs="宋体" w:asciiTheme="majorEastAsia" w:hAnsiTheme="majorEastAsia" w:eastAsiaTheme="majorEastAsia"/>
          <w:color w:val="000000" w:themeColor="text1"/>
          <w:kern w:val="0"/>
          <w:sz w:val="24"/>
          <w:szCs w:val="24"/>
        </w:rPr>
        <w:t>南通农副产品物流有限公司网站（</w:t>
      </w:r>
      <w:r>
        <w:rPr>
          <w:rFonts w:cs="宋体" w:asciiTheme="majorEastAsia" w:hAnsiTheme="majorEastAsia" w:eastAsiaTheme="majorEastAsia"/>
          <w:color w:val="000000" w:themeColor="text1"/>
          <w:kern w:val="0"/>
          <w:sz w:val="24"/>
          <w:szCs w:val="24"/>
        </w:rPr>
        <w:t>http://www.ntnfcp.com/</w:t>
      </w:r>
      <w:r>
        <w:rPr>
          <w:rFonts w:hint="eastAsia" w:cs="宋体" w:asciiTheme="majorEastAsia" w:hAnsiTheme="majorEastAsia" w:eastAsiaTheme="majorEastAsia"/>
          <w:color w:val="000000" w:themeColor="text1"/>
          <w:kern w:val="0"/>
          <w:sz w:val="24"/>
          <w:szCs w:val="24"/>
        </w:rPr>
        <w:t>）-首页-通知公告栏，各投标人自行上网查询、下载。获取时间由发布招标公告的同时开始，到提交投标文件截止时结束，请各投标人自行关注，否则，引起的后果由投标人自行承担。</w:t>
      </w:r>
      <w:r>
        <w:rPr>
          <w:rFonts w:hint="eastAsia" w:cs="宋体" w:asciiTheme="majorEastAsia" w:hAnsiTheme="majorEastAsia" w:eastAsiaTheme="majorEastAsia"/>
          <w:color w:val="000000" w:themeColor="text1"/>
          <w:kern w:val="0"/>
          <w:sz w:val="24"/>
        </w:rPr>
        <w:t>采购文件</w:t>
      </w:r>
      <w:r>
        <w:rPr>
          <w:rFonts w:hint="eastAsia" w:asciiTheme="majorEastAsia" w:hAnsiTheme="majorEastAsia" w:eastAsiaTheme="majorEastAsia"/>
          <w:color w:val="000000" w:themeColor="text1"/>
          <w:kern w:val="0"/>
          <w:sz w:val="24"/>
        </w:rPr>
        <w:t>资料费每套叁佰元（￥300.00），递交磋商文件时现场支付，无论是否中标，资料费概不退还。</w:t>
      </w:r>
    </w:p>
    <w:p>
      <w:pPr>
        <w:snapToGrid w:val="0"/>
        <w:spacing w:line="360" w:lineRule="auto"/>
        <w:ind w:firstLine="482" w:firstLineChars="200"/>
        <w:outlineLvl w:val="1"/>
        <w:rPr>
          <w:rFonts w:cs="宋体" w:asciiTheme="majorEastAsia" w:hAnsiTheme="majorEastAsia" w:eastAsiaTheme="majorEastAsia"/>
          <w:bCs/>
          <w:color w:val="000000" w:themeColor="text1"/>
          <w:sz w:val="24"/>
          <w:szCs w:val="24"/>
        </w:rPr>
      </w:pPr>
      <w:r>
        <w:rPr>
          <w:rFonts w:hint="eastAsia" w:cs="宋体" w:asciiTheme="majorEastAsia" w:hAnsiTheme="majorEastAsia" w:eastAsiaTheme="majorEastAsia"/>
          <w:b/>
          <w:bCs/>
          <w:color w:val="000000" w:themeColor="text1"/>
          <w:sz w:val="24"/>
          <w:szCs w:val="24"/>
        </w:rPr>
        <w:t>九、磋商响应文件接收截止及评审磋商开始时间：</w:t>
      </w:r>
      <w:r>
        <w:rPr>
          <w:rFonts w:hint="eastAsia" w:cs="宋体" w:asciiTheme="majorEastAsia" w:hAnsiTheme="majorEastAsia" w:eastAsiaTheme="majorEastAsia"/>
          <w:b/>
          <w:bCs/>
          <w:sz w:val="24"/>
          <w:szCs w:val="24"/>
        </w:rPr>
        <w:t>2019年12月31日9时30分。</w:t>
      </w:r>
    </w:p>
    <w:p>
      <w:pPr>
        <w:shd w:val="clear" w:color="auto" w:fill="FFFFFF"/>
        <w:spacing w:line="360" w:lineRule="auto"/>
        <w:ind w:firstLine="448" w:firstLineChars="186"/>
        <w:jc w:val="left"/>
        <w:rPr>
          <w:rFonts w:eastAsia="仿宋" w:cs="宋体" w:asciiTheme="majorEastAsia" w:hAnsiTheme="majorEastAsia"/>
          <w:bCs/>
          <w:color w:val="000000" w:themeColor="text1"/>
          <w:sz w:val="24"/>
          <w:szCs w:val="24"/>
        </w:rPr>
      </w:pPr>
      <w:r>
        <w:rPr>
          <w:rFonts w:hint="eastAsia" w:cs="宋体" w:asciiTheme="majorEastAsia" w:hAnsiTheme="majorEastAsia" w:eastAsiaTheme="majorEastAsia"/>
          <w:b/>
          <w:bCs/>
          <w:color w:val="000000" w:themeColor="text1"/>
          <w:sz w:val="24"/>
          <w:szCs w:val="24"/>
        </w:rPr>
        <w:t>十、磋商响应文件递交地址：</w:t>
      </w:r>
      <w:r>
        <w:rPr>
          <w:rFonts w:hint="eastAsia" w:cs="仿宋" w:asciiTheme="majorEastAsia" w:hAnsiTheme="majorEastAsia" w:eastAsiaTheme="majorEastAsia"/>
          <w:kern w:val="0"/>
          <w:sz w:val="24"/>
          <w:szCs w:val="24"/>
        </w:rPr>
        <w:t>崇川区崇川路777号南通农副产品物流有限公司展销楼五楼会议室（来客商务宾馆楼上）。</w:t>
      </w:r>
    </w:p>
    <w:p>
      <w:pPr>
        <w:shd w:val="clear" w:color="auto" w:fill="FFFFFF"/>
        <w:spacing w:line="360" w:lineRule="auto"/>
        <w:ind w:firstLine="482" w:firstLineChars="200"/>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color w:val="000000" w:themeColor="text1"/>
          <w:kern w:val="0"/>
          <w:sz w:val="24"/>
          <w:szCs w:val="24"/>
        </w:rPr>
        <w:t>十一、磋商文件份数：</w:t>
      </w:r>
      <w:r>
        <w:rPr>
          <w:rFonts w:hint="eastAsia" w:cs="宋体" w:asciiTheme="majorEastAsia" w:hAnsiTheme="majorEastAsia" w:eastAsiaTheme="majorEastAsia"/>
          <w:color w:val="000000" w:themeColor="text1"/>
          <w:kern w:val="0"/>
          <w:sz w:val="24"/>
          <w:szCs w:val="24"/>
        </w:rPr>
        <w:t>正本壹份，副本壹份。</w:t>
      </w:r>
    </w:p>
    <w:p>
      <w:pPr>
        <w:shd w:val="clear" w:color="auto" w:fill="FFFFFF"/>
        <w:spacing w:line="360" w:lineRule="auto"/>
        <w:ind w:firstLine="482" w:firstLineChars="200"/>
        <w:rPr>
          <w:rFonts w:asciiTheme="majorEastAsia" w:hAnsiTheme="majorEastAsia" w:eastAsiaTheme="majorEastAsia"/>
          <w:color w:val="000000" w:themeColor="text1"/>
          <w:sz w:val="24"/>
          <w:szCs w:val="24"/>
        </w:rPr>
      </w:pPr>
      <w:r>
        <w:rPr>
          <w:rFonts w:hint="eastAsia" w:cs="宋体" w:asciiTheme="majorEastAsia" w:hAnsiTheme="majorEastAsia" w:eastAsiaTheme="majorEastAsia"/>
          <w:b/>
          <w:color w:val="000000" w:themeColor="text1"/>
          <w:kern w:val="0"/>
          <w:sz w:val="24"/>
          <w:szCs w:val="24"/>
        </w:rPr>
        <w:t>十二、其他</w:t>
      </w:r>
      <w:r>
        <w:rPr>
          <w:rFonts w:hint="eastAsia" w:asciiTheme="majorEastAsia" w:hAnsiTheme="majorEastAsia" w:eastAsiaTheme="majorEastAsia"/>
          <w:b/>
          <w:color w:val="000000" w:themeColor="text1"/>
          <w:sz w:val="24"/>
          <w:szCs w:val="24"/>
        </w:rPr>
        <w:t>：</w:t>
      </w:r>
      <w:r>
        <w:rPr>
          <w:rFonts w:hint="eastAsia" w:asciiTheme="majorEastAsia" w:hAnsiTheme="majorEastAsia" w:eastAsiaTheme="majorEastAsia"/>
          <w:color w:val="000000" w:themeColor="text1"/>
          <w:sz w:val="24"/>
          <w:szCs w:val="24"/>
        </w:rPr>
        <w:t>成交</w:t>
      </w:r>
      <w:r>
        <w:rPr>
          <w:rFonts w:hint="eastAsia" w:asciiTheme="majorEastAsia" w:hAnsiTheme="majorEastAsia" w:eastAsiaTheme="majorEastAsia"/>
          <w:color w:val="000000" w:themeColor="text1"/>
          <w:sz w:val="24"/>
        </w:rPr>
        <w:t>单位中标后向代理公司支付招标代理服务费，本项目招标代理服务费为2600元，该费用由磋商供应商综合考虑在投标报价中。</w:t>
      </w:r>
    </w:p>
    <w:p>
      <w:pPr>
        <w:spacing w:line="360" w:lineRule="auto"/>
        <w:ind w:firstLine="482" w:firstLineChars="200"/>
        <w:rPr>
          <w:rFonts w:asciiTheme="majorEastAsia" w:hAnsiTheme="majorEastAsia" w:eastAsiaTheme="majorEastAsia"/>
          <w:b/>
          <w:color w:val="000000" w:themeColor="text1"/>
          <w:sz w:val="24"/>
        </w:rPr>
      </w:pPr>
      <w:r>
        <w:rPr>
          <w:rFonts w:hint="eastAsia" w:asciiTheme="majorEastAsia" w:hAnsiTheme="majorEastAsia" w:eastAsiaTheme="majorEastAsia"/>
          <w:b/>
          <w:color w:val="000000" w:themeColor="text1"/>
          <w:sz w:val="24"/>
        </w:rPr>
        <w:t>十三、本招标项目联系事项</w:t>
      </w:r>
    </w:p>
    <w:p>
      <w:pPr>
        <w:spacing w:line="360" w:lineRule="auto"/>
        <w:ind w:firstLine="849" w:firstLineChars="354"/>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对项目需求部分的询问、质疑请向采购人或招标代理机构提出，询问、质疑由采购人负责答复。</w:t>
      </w:r>
    </w:p>
    <w:p>
      <w:pPr>
        <w:spacing w:line="360" w:lineRule="auto"/>
        <w:ind w:firstLine="849" w:firstLineChars="354"/>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rPr>
        <w:t>采购人：</w:t>
      </w:r>
      <w:r>
        <w:rPr>
          <w:rFonts w:hint="eastAsia" w:cs="宋体" w:asciiTheme="majorEastAsia" w:hAnsiTheme="majorEastAsia" w:eastAsiaTheme="majorEastAsia"/>
          <w:color w:val="000000" w:themeColor="text1"/>
          <w:sz w:val="24"/>
          <w:szCs w:val="24"/>
        </w:rPr>
        <w:t>南通农副产品物流有限公司</w:t>
      </w:r>
    </w:p>
    <w:p>
      <w:pPr>
        <w:spacing w:line="360" w:lineRule="auto"/>
        <w:ind w:firstLine="849" w:firstLineChars="354"/>
        <w:rPr>
          <w:rFonts w:cs="宋体" w:asciiTheme="majorEastAsia" w:hAnsiTheme="majorEastAsia" w:eastAsiaTheme="majorEastAsia"/>
          <w:b/>
          <w:color w:val="000000" w:themeColor="text1"/>
          <w:sz w:val="24"/>
          <w:szCs w:val="24"/>
        </w:rPr>
      </w:pPr>
      <w:r>
        <w:rPr>
          <w:rFonts w:hint="eastAsia" w:asciiTheme="majorEastAsia" w:hAnsiTheme="majorEastAsia" w:eastAsiaTheme="majorEastAsia"/>
          <w:color w:val="000000" w:themeColor="text1"/>
          <w:sz w:val="24"/>
          <w:szCs w:val="24"/>
        </w:rPr>
        <w:t>联系人：姚女士，电话：</w:t>
      </w:r>
      <w:r>
        <w:rPr>
          <w:rFonts w:hint="eastAsia" w:cs="仿宋" w:asciiTheme="majorEastAsia" w:hAnsiTheme="majorEastAsia" w:eastAsiaTheme="majorEastAsia"/>
          <w:sz w:val="24"/>
          <w:szCs w:val="24"/>
        </w:rPr>
        <w:t>0513-51088074</w:t>
      </w:r>
      <w:bookmarkStart w:id="1" w:name="_Toc517717026"/>
    </w:p>
    <w:p>
      <w:pPr>
        <w:spacing w:line="360" w:lineRule="auto"/>
        <w:ind w:firstLine="849" w:firstLineChars="354"/>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监督人：张女士，电话：0513-51088082</w:t>
      </w:r>
    </w:p>
    <w:p>
      <w:pPr>
        <w:spacing w:line="360" w:lineRule="auto"/>
        <w:ind w:firstLine="849" w:firstLineChars="354"/>
        <w:rPr>
          <w:rFonts w:cs="仿宋" w:asciiTheme="majorEastAsia" w:hAnsiTheme="majorEastAsia" w:eastAsiaTheme="majorEastAsia"/>
          <w:sz w:val="24"/>
          <w:szCs w:val="24"/>
        </w:rPr>
      </w:pPr>
    </w:p>
    <w:p>
      <w:pPr>
        <w:spacing w:line="360" w:lineRule="auto"/>
        <w:ind w:firstLine="849" w:firstLineChars="354"/>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代理机构：南通通城建设工程项目管理有限公司</w:t>
      </w:r>
    </w:p>
    <w:p>
      <w:pPr>
        <w:spacing w:line="360" w:lineRule="auto"/>
        <w:ind w:firstLine="849" w:firstLineChars="354"/>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联系人：杨女士，电话：18206295248</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spacing w:before="240" w:after="240" w:line="360" w:lineRule="auto"/>
        <w:ind w:firstLine="2650" w:firstLineChars="6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第二章 磋商供应商须知</w:t>
      </w:r>
      <w:bookmarkEnd w:id="1"/>
    </w:p>
    <w:p>
      <w:pPr>
        <w:snapToGrid w:val="0"/>
        <w:spacing w:line="360" w:lineRule="auto"/>
        <w:ind w:firstLine="472" w:firstLineChars="196"/>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一、招标文件由招标人解释</w:t>
      </w:r>
    </w:p>
    <w:p>
      <w:pPr>
        <w:snapToGrid w:val="0"/>
        <w:spacing w:line="360" w:lineRule="auto"/>
        <w:ind w:firstLine="480" w:firstLineChars="200"/>
        <w:rPr>
          <w:rFonts w:asciiTheme="majorEastAsia" w:hAnsiTheme="majorEastAsia" w:eastAsiaTheme="majorEastAsia"/>
          <w:b/>
          <w:color w:val="000000" w:themeColor="text1"/>
          <w:sz w:val="24"/>
          <w:szCs w:val="24"/>
        </w:rPr>
      </w:pPr>
      <w:r>
        <w:rPr>
          <w:rFonts w:asciiTheme="majorEastAsia" w:hAnsiTheme="majorEastAsia" w:eastAsiaTheme="majorEastAsia"/>
          <w:color w:val="000000" w:themeColor="text1"/>
          <w:sz w:val="24"/>
          <w:szCs w:val="24"/>
        </w:rPr>
        <w:t>1</w:t>
      </w:r>
      <w:r>
        <w:rPr>
          <w:rFonts w:hint="eastAsia" w:asciiTheme="majorEastAsia" w:hAnsiTheme="majorEastAsia" w:eastAsiaTheme="majorEastAsia"/>
          <w:color w:val="000000" w:themeColor="text1"/>
          <w:sz w:val="24"/>
          <w:szCs w:val="24"/>
        </w:rPr>
        <w:t>、磋商供应商应仔细检查招标文件的所有内容，如有资格要求和技术参数含有倾向性或排他性等表述的，应在发布招标公告和招标文件后3日内以书面形式提出询问或疑问，未在规定的3日内提出询问或疑问的，视同磋商供应商理解并接受本招标文件所有内容，并由此引起的投标损失自负。磋商供应商不得在招标结束后针对招标文件所有内容提出质疑事项。</w:t>
      </w:r>
      <w:r>
        <w:rPr>
          <w:rFonts w:hint="eastAsia" w:asciiTheme="majorEastAsia" w:hAnsiTheme="majorEastAsia" w:eastAsiaTheme="majorEastAsia"/>
          <w:b/>
          <w:color w:val="000000" w:themeColor="text1"/>
          <w:sz w:val="24"/>
          <w:szCs w:val="24"/>
        </w:rPr>
        <w:t>非书面形式的不作为日后质疑提出的依据。</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2</w:t>
      </w:r>
      <w:r>
        <w:rPr>
          <w:rFonts w:hint="eastAsia" w:asciiTheme="majorEastAsia" w:hAnsiTheme="majorEastAsia" w:eastAsiaTheme="majorEastAsia"/>
          <w:color w:val="000000" w:themeColor="text1"/>
          <w:sz w:val="24"/>
          <w:szCs w:val="24"/>
        </w:rPr>
        <w:t>、磋商供应商应认真审阅招标文件中所有的事项、格式、条款和规范要求等，如果磋商供应商没有按照招标文件要求提交投标文件，或者投标文件没有对招标文件做出实质性响应，其投标将被拒绝，磋商供应商自行承担责任。</w:t>
      </w:r>
    </w:p>
    <w:p>
      <w:pPr>
        <w:snapToGrid w:val="0"/>
        <w:spacing w:line="360" w:lineRule="auto"/>
        <w:ind w:firstLine="472" w:firstLineChars="196"/>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二、招标文件的澄清、修改、答疑</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w:t>
      </w:r>
      <w:r>
        <w:rPr>
          <w:rFonts w:hint="eastAsia" w:asciiTheme="majorEastAsia" w:hAnsiTheme="majorEastAsia" w:eastAsiaTheme="majorEastAsia"/>
          <w:color w:val="000000" w:themeColor="text1"/>
          <w:sz w:val="24"/>
          <w:szCs w:val="24"/>
        </w:rPr>
        <w:t>、招标人有权对发出的招标文件进行必要的澄清或修改。</w:t>
      </w:r>
      <w:r>
        <w:rPr>
          <w:rFonts w:hint="eastAsia" w:ascii="宋体" w:hAnsi="宋体" w:eastAsia="宋体" w:cs="Times New Roman"/>
          <w:sz w:val="24"/>
          <w:szCs w:val="24"/>
        </w:rPr>
        <w:t>澄清或者修改的内容可能影响响应文件编制的，本采购代理机构将在提交首次响应文件截止时间至少五日前，在</w:t>
      </w:r>
      <w:r>
        <w:rPr>
          <w:rFonts w:hint="eastAsia" w:cs="宋体" w:asciiTheme="majorEastAsia" w:hAnsiTheme="majorEastAsia" w:eastAsiaTheme="majorEastAsia"/>
          <w:color w:val="000000" w:themeColor="text1"/>
          <w:kern w:val="0"/>
          <w:sz w:val="24"/>
          <w:szCs w:val="24"/>
        </w:rPr>
        <w:t>南通汽运实业集团有限公司网站（</w:t>
      </w:r>
      <w:r>
        <w:fldChar w:fldCharType="begin"/>
      </w:r>
      <w:r>
        <w:instrText xml:space="preserve"> HYPERLINK "http://www.ntqyjt.com.cn/" </w:instrText>
      </w:r>
      <w:r>
        <w:fldChar w:fldCharType="separate"/>
      </w:r>
      <w:r>
        <w:rPr>
          <w:rStyle w:val="23"/>
          <w:rFonts w:cs="宋体" w:asciiTheme="majorEastAsia" w:hAnsiTheme="majorEastAsia" w:eastAsiaTheme="majorEastAsia"/>
          <w:kern w:val="0"/>
          <w:sz w:val="24"/>
          <w:szCs w:val="24"/>
        </w:rPr>
        <w:t>http://www.ntqyjt.com.cn/</w:t>
      </w:r>
      <w:r>
        <w:rPr>
          <w:rStyle w:val="23"/>
          <w:rFonts w:cs="宋体" w:asciiTheme="majorEastAsia" w:hAnsiTheme="majorEastAsia" w:eastAsiaTheme="majorEastAsia"/>
          <w:kern w:val="0"/>
          <w:sz w:val="24"/>
          <w:szCs w:val="24"/>
        </w:rPr>
        <w:fldChar w:fldCharType="end"/>
      </w:r>
      <w:r>
        <w:rPr>
          <w:rFonts w:hint="eastAsia" w:cs="宋体" w:asciiTheme="majorEastAsia" w:hAnsiTheme="majorEastAsia" w:eastAsiaTheme="majorEastAsia"/>
          <w:color w:val="000000" w:themeColor="text1"/>
          <w:kern w:val="0"/>
          <w:sz w:val="24"/>
          <w:szCs w:val="24"/>
        </w:rPr>
        <w:t>）</w:t>
      </w:r>
      <w:r>
        <w:rPr>
          <w:rFonts w:cs="宋体" w:asciiTheme="majorEastAsia" w:hAnsiTheme="majorEastAsia" w:eastAsiaTheme="majorEastAsia"/>
          <w:color w:val="000000" w:themeColor="text1"/>
          <w:kern w:val="0"/>
          <w:sz w:val="24"/>
          <w:szCs w:val="24"/>
        </w:rPr>
        <w:t>和</w:t>
      </w:r>
      <w:r>
        <w:rPr>
          <w:rFonts w:hint="eastAsia" w:cs="宋体" w:asciiTheme="majorEastAsia" w:hAnsiTheme="majorEastAsia" w:eastAsiaTheme="majorEastAsia"/>
          <w:color w:val="000000" w:themeColor="text1"/>
          <w:kern w:val="0"/>
          <w:sz w:val="24"/>
          <w:szCs w:val="24"/>
        </w:rPr>
        <w:t>南通农副产品物流有限公司网站（</w:t>
      </w:r>
      <w:r>
        <w:rPr>
          <w:rFonts w:cs="宋体" w:asciiTheme="majorEastAsia" w:hAnsiTheme="majorEastAsia" w:eastAsiaTheme="majorEastAsia"/>
          <w:color w:val="000000" w:themeColor="text1"/>
          <w:kern w:val="0"/>
          <w:sz w:val="24"/>
          <w:szCs w:val="24"/>
        </w:rPr>
        <w:t>http://www.ntnfcp.com/</w:t>
      </w:r>
      <w:r>
        <w:rPr>
          <w:rFonts w:hint="eastAsia" w:cs="宋体" w:asciiTheme="majorEastAsia" w:hAnsiTheme="majorEastAsia" w:eastAsiaTheme="majorEastAsia"/>
          <w:color w:val="000000" w:themeColor="text1"/>
          <w:kern w:val="0"/>
          <w:sz w:val="24"/>
          <w:szCs w:val="24"/>
        </w:rPr>
        <w:t>）</w:t>
      </w:r>
      <w:r>
        <w:rPr>
          <w:rFonts w:hint="eastAsia" w:ascii="宋体" w:hAnsi="宋体" w:eastAsia="宋体" w:cs="Times New Roman"/>
          <w:sz w:val="24"/>
          <w:szCs w:val="24"/>
        </w:rPr>
        <w:t>上发布补充公告，</w:t>
      </w:r>
      <w:r>
        <w:rPr>
          <w:rFonts w:ascii="宋体" w:hAnsi="宋体" w:eastAsia="宋体" w:cs="Times New Roman"/>
          <w:sz w:val="24"/>
          <w:szCs w:val="24"/>
        </w:rPr>
        <w:t>当</w:t>
      </w:r>
      <w:r>
        <w:rPr>
          <w:rFonts w:hint="eastAsia" w:ascii="宋体" w:hAnsi="宋体" w:eastAsia="宋体" w:cs="Times New Roman"/>
          <w:sz w:val="24"/>
          <w:szCs w:val="24"/>
        </w:rPr>
        <w:t>磋商</w:t>
      </w:r>
      <w:r>
        <w:rPr>
          <w:rFonts w:ascii="宋体" w:hAnsi="宋体" w:eastAsia="宋体" w:cs="Times New Roman"/>
          <w:sz w:val="24"/>
          <w:szCs w:val="24"/>
        </w:rPr>
        <w:t>文件、</w:t>
      </w:r>
      <w:r>
        <w:rPr>
          <w:rFonts w:hint="eastAsia" w:ascii="宋体" w:hAnsi="宋体" w:eastAsia="宋体" w:cs="Times New Roman"/>
          <w:sz w:val="24"/>
          <w:szCs w:val="24"/>
        </w:rPr>
        <w:t>磋商</w:t>
      </w:r>
      <w:r>
        <w:rPr>
          <w:rFonts w:ascii="宋体" w:hAnsi="宋体" w:eastAsia="宋体" w:cs="Times New Roman"/>
          <w:sz w:val="24"/>
          <w:szCs w:val="24"/>
        </w:rPr>
        <w:t>文件的澄清、修改、补充等在同一内容的表述上不一致时，以最后</w:t>
      </w:r>
      <w:r>
        <w:rPr>
          <w:rFonts w:hint="eastAsia" w:ascii="宋体" w:hAnsi="宋体" w:eastAsia="宋体" w:cs="Times New Roman"/>
          <w:sz w:val="24"/>
          <w:szCs w:val="24"/>
        </w:rPr>
        <w:t>发布的</w:t>
      </w:r>
      <w:r>
        <w:rPr>
          <w:rFonts w:ascii="宋体" w:hAnsi="宋体" w:eastAsia="宋体" w:cs="Times New Roman"/>
          <w:sz w:val="24"/>
          <w:szCs w:val="24"/>
        </w:rPr>
        <w:t>为准。</w:t>
      </w:r>
      <w:r>
        <w:rPr>
          <w:rFonts w:hint="eastAsia" w:ascii="宋体" w:hAnsi="宋体" w:eastAsia="宋体" w:cs="Times New Roman"/>
          <w:sz w:val="24"/>
          <w:szCs w:val="24"/>
        </w:rPr>
        <w:t>供应商应在投标截止时间前随时查看“</w:t>
      </w:r>
      <w:r>
        <w:rPr>
          <w:rFonts w:hint="eastAsia" w:cs="宋体" w:asciiTheme="majorEastAsia" w:hAnsiTheme="majorEastAsia" w:eastAsiaTheme="majorEastAsia"/>
          <w:color w:val="000000" w:themeColor="text1"/>
          <w:kern w:val="0"/>
          <w:sz w:val="24"/>
          <w:szCs w:val="24"/>
        </w:rPr>
        <w:t>南通汽运实业集团有限公司网站（</w:t>
      </w:r>
      <w:r>
        <w:fldChar w:fldCharType="begin"/>
      </w:r>
      <w:r>
        <w:instrText xml:space="preserve"> HYPERLINK "http://www.ntqyjt.com.cn/" </w:instrText>
      </w:r>
      <w:r>
        <w:fldChar w:fldCharType="separate"/>
      </w:r>
      <w:r>
        <w:rPr>
          <w:rStyle w:val="23"/>
          <w:rFonts w:cs="宋体" w:asciiTheme="majorEastAsia" w:hAnsiTheme="majorEastAsia" w:eastAsiaTheme="majorEastAsia"/>
          <w:kern w:val="0"/>
          <w:sz w:val="24"/>
          <w:szCs w:val="24"/>
        </w:rPr>
        <w:t>http://www.ntqyjt.com.cn/</w:t>
      </w:r>
      <w:r>
        <w:rPr>
          <w:rStyle w:val="23"/>
          <w:rFonts w:cs="宋体" w:asciiTheme="majorEastAsia" w:hAnsiTheme="majorEastAsia" w:eastAsiaTheme="majorEastAsia"/>
          <w:kern w:val="0"/>
          <w:sz w:val="24"/>
          <w:szCs w:val="24"/>
        </w:rPr>
        <w:fldChar w:fldCharType="end"/>
      </w:r>
      <w:r>
        <w:rPr>
          <w:rFonts w:hint="eastAsia" w:cs="宋体" w:asciiTheme="majorEastAsia" w:hAnsiTheme="majorEastAsia" w:eastAsiaTheme="majorEastAsia"/>
          <w:color w:val="000000" w:themeColor="text1"/>
          <w:kern w:val="0"/>
          <w:sz w:val="24"/>
          <w:szCs w:val="24"/>
        </w:rPr>
        <w:t>）</w:t>
      </w:r>
      <w:r>
        <w:rPr>
          <w:rFonts w:cs="宋体" w:asciiTheme="majorEastAsia" w:hAnsiTheme="majorEastAsia" w:eastAsiaTheme="majorEastAsia"/>
          <w:color w:val="000000" w:themeColor="text1"/>
          <w:kern w:val="0"/>
          <w:sz w:val="24"/>
          <w:szCs w:val="24"/>
        </w:rPr>
        <w:t>和</w:t>
      </w:r>
      <w:r>
        <w:rPr>
          <w:rFonts w:hint="eastAsia" w:cs="宋体" w:asciiTheme="majorEastAsia" w:hAnsiTheme="majorEastAsia" w:eastAsiaTheme="majorEastAsia"/>
          <w:color w:val="000000" w:themeColor="text1"/>
          <w:kern w:val="0"/>
          <w:sz w:val="24"/>
          <w:szCs w:val="24"/>
        </w:rPr>
        <w:t>南通农副产品物流有限公司网站（</w:t>
      </w:r>
      <w:r>
        <w:rPr>
          <w:rFonts w:cs="宋体" w:asciiTheme="majorEastAsia" w:hAnsiTheme="majorEastAsia" w:eastAsiaTheme="majorEastAsia"/>
          <w:color w:val="000000" w:themeColor="text1"/>
          <w:kern w:val="0"/>
          <w:sz w:val="24"/>
          <w:szCs w:val="24"/>
        </w:rPr>
        <w:t>http://www.ntnfcp.com/</w:t>
      </w:r>
      <w:r>
        <w:rPr>
          <w:rFonts w:hint="eastAsia" w:cs="宋体" w:asciiTheme="majorEastAsia" w:hAnsiTheme="majorEastAsia" w:eastAsiaTheme="majorEastAsia"/>
          <w:color w:val="000000" w:themeColor="text1"/>
          <w:kern w:val="0"/>
          <w:sz w:val="24"/>
          <w:szCs w:val="24"/>
        </w:rPr>
        <w:t>）</w:t>
      </w:r>
      <w:r>
        <w:rPr>
          <w:rFonts w:hint="eastAsia" w:ascii="宋体" w:hAnsi="宋体" w:eastAsia="宋体" w:cs="Times New Roman"/>
          <w:sz w:val="24"/>
          <w:szCs w:val="24"/>
        </w:rPr>
        <w:t>”中有关该项目磋商文件的补充公告。供应商因自身原因未能及时掌握上述网上公示信息，由此造成磋商损失自负。</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2</w:t>
      </w:r>
      <w:r>
        <w:rPr>
          <w:rFonts w:hint="eastAsia" w:asciiTheme="majorEastAsia" w:hAnsiTheme="majorEastAsia" w:eastAsiaTheme="majorEastAsia"/>
          <w:color w:val="000000" w:themeColor="text1"/>
          <w:sz w:val="24"/>
          <w:szCs w:val="24"/>
        </w:rPr>
        <w:t>、招标人可视情取消、延长相关时间，不负责解释。</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3</w:t>
      </w:r>
      <w:r>
        <w:rPr>
          <w:rFonts w:hint="eastAsia" w:asciiTheme="majorEastAsia" w:hAnsiTheme="majorEastAsia" w:eastAsiaTheme="majorEastAsia"/>
          <w:color w:val="000000" w:themeColor="text1"/>
          <w:sz w:val="24"/>
          <w:szCs w:val="24"/>
        </w:rPr>
        <w:t>、招标人对招标文件的澄清、修改将构成招标文件的一部分，对磋商供应商具有约束力。</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4</w:t>
      </w:r>
      <w:r>
        <w:rPr>
          <w:rFonts w:hint="eastAsia" w:asciiTheme="majorEastAsia" w:hAnsiTheme="majorEastAsia" w:eastAsiaTheme="majorEastAsia"/>
          <w:color w:val="000000" w:themeColor="text1"/>
          <w:sz w:val="24"/>
          <w:szCs w:val="24"/>
        </w:rPr>
        <w:t>、磋商供应商由于对招标文件的任何推论和误解以及招标人对有关问题的口头解释所造成的后果，均由磋商供应商自负。</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5</w:t>
      </w:r>
      <w:r>
        <w:rPr>
          <w:rFonts w:hint="eastAsia" w:asciiTheme="majorEastAsia" w:hAnsiTheme="majorEastAsia" w:eastAsiaTheme="majorEastAsia"/>
          <w:color w:val="000000" w:themeColor="text1"/>
          <w:sz w:val="24"/>
          <w:szCs w:val="24"/>
        </w:rPr>
        <w:t>、招标人或采购单位视情组织答疑会。</w:t>
      </w:r>
    </w:p>
    <w:p>
      <w:pPr>
        <w:snapToGrid w:val="0"/>
        <w:spacing w:line="360" w:lineRule="auto"/>
        <w:ind w:firstLine="472" w:firstLineChars="196"/>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三、磋商报价</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w:t>
      </w:r>
      <w:r>
        <w:rPr>
          <w:rFonts w:hint="eastAsia" w:asciiTheme="majorEastAsia" w:hAnsiTheme="majorEastAsia" w:eastAsiaTheme="majorEastAsia"/>
          <w:color w:val="000000" w:themeColor="text1"/>
          <w:sz w:val="24"/>
          <w:szCs w:val="24"/>
        </w:rPr>
        <w:t>、磋商结束后，供应商就所有内容进行最后报价。</w:t>
      </w:r>
      <w:r>
        <w:rPr>
          <w:rFonts w:hint="eastAsia" w:cs="宋体" w:asciiTheme="majorEastAsia" w:hAnsiTheme="majorEastAsia" w:eastAsiaTheme="majorEastAsia"/>
          <w:color w:val="000000" w:themeColor="text1"/>
          <w:sz w:val="24"/>
          <w:szCs w:val="24"/>
        </w:rPr>
        <w:t>除非在磋商中磋商小组对采购单位需求内容作了调整增加，或对采购内容作了实质性变更，否则采购单位不接受供应商高于自己前一轮的磋商报价。</w:t>
      </w:r>
    </w:p>
    <w:p>
      <w:pPr>
        <w:snapToGrid w:val="0"/>
        <w:spacing w:line="360" w:lineRule="auto"/>
        <w:ind w:firstLine="470" w:firstLineChars="196"/>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2</w:t>
      </w:r>
      <w:r>
        <w:rPr>
          <w:rFonts w:hint="eastAsia" w:asciiTheme="majorEastAsia" w:hAnsiTheme="majorEastAsia" w:eastAsiaTheme="majorEastAsia"/>
          <w:color w:val="000000" w:themeColor="text1"/>
          <w:sz w:val="24"/>
          <w:szCs w:val="24"/>
        </w:rPr>
        <w:t>、最后报价应包括本项目的全部费用</w:t>
      </w:r>
      <w:r>
        <w:rPr>
          <w:rFonts w:asciiTheme="majorEastAsia" w:hAnsiTheme="majorEastAsia" w:eastAsiaTheme="majorEastAsia"/>
          <w:color w:val="000000" w:themeColor="text1"/>
          <w:sz w:val="24"/>
          <w:szCs w:val="24"/>
        </w:rPr>
        <w:t xml:space="preserve"> (</w:t>
      </w:r>
      <w:r>
        <w:rPr>
          <w:rFonts w:hint="eastAsia" w:asciiTheme="majorEastAsia" w:hAnsiTheme="majorEastAsia" w:eastAsiaTheme="majorEastAsia"/>
          <w:color w:val="000000" w:themeColor="text1"/>
          <w:sz w:val="24"/>
          <w:szCs w:val="24"/>
        </w:rPr>
        <w:t>含一切必须的辅助材料费用</w:t>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及相关服务费等。</w:t>
      </w:r>
      <w:r>
        <w:rPr>
          <w:rFonts w:asciiTheme="majorEastAsia" w:hAnsiTheme="majorEastAsia" w:eastAsiaTheme="majorEastAsia"/>
          <w:color w:val="000000" w:themeColor="text1"/>
          <w:sz w:val="24"/>
          <w:szCs w:val="24"/>
        </w:rPr>
        <w:t xml:space="preserve"> </w:t>
      </w:r>
    </w:p>
    <w:p>
      <w:pPr>
        <w:snapToGrid w:val="0"/>
        <w:spacing w:line="360" w:lineRule="auto"/>
        <w:ind w:firstLine="470" w:firstLineChars="196"/>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3</w:t>
      </w:r>
      <w:r>
        <w:rPr>
          <w:rFonts w:hint="eastAsia" w:asciiTheme="majorEastAsia" w:hAnsiTheme="majorEastAsia" w:eastAsiaTheme="majorEastAsia"/>
          <w:color w:val="000000" w:themeColor="text1"/>
          <w:sz w:val="24"/>
          <w:szCs w:val="24"/>
        </w:rPr>
        <w:t>、最后报价将作为磋商小组评定成交供应商的组成依据。</w:t>
      </w:r>
    </w:p>
    <w:p>
      <w:pPr>
        <w:snapToGrid w:val="0"/>
        <w:spacing w:line="360" w:lineRule="auto"/>
        <w:ind w:firstLine="472" w:firstLineChars="196"/>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四、</w:t>
      </w:r>
      <w:r>
        <w:rPr>
          <w:rFonts w:hint="eastAsia" w:cs="宋体" w:asciiTheme="majorEastAsia" w:hAnsiTheme="majorEastAsia" w:eastAsiaTheme="majorEastAsia"/>
          <w:b/>
          <w:bCs/>
          <w:snapToGrid w:val="0"/>
          <w:color w:val="000000" w:themeColor="text1"/>
          <w:kern w:val="0"/>
          <w:sz w:val="24"/>
        </w:rPr>
        <w:t>磋商文件的组成：</w:t>
      </w:r>
    </w:p>
    <w:p>
      <w:pPr>
        <w:shd w:val="clear" w:color="auto" w:fill="FFFFFF"/>
        <w:adjustRightInd w:val="0"/>
        <w:snapToGrid w:val="0"/>
        <w:spacing w:line="360" w:lineRule="auto"/>
        <w:ind w:firstLine="480" w:firstLineChars="200"/>
        <w:rPr>
          <w:rFonts w:cs="宋体" w:asciiTheme="majorEastAsia" w:hAnsiTheme="majorEastAsia" w:eastAsiaTheme="majorEastAsia"/>
          <w:snapToGrid w:val="0"/>
          <w:color w:val="000000" w:themeColor="text1"/>
          <w:kern w:val="0"/>
          <w:sz w:val="24"/>
        </w:rPr>
      </w:pPr>
      <w:r>
        <w:rPr>
          <w:rFonts w:cs="宋体" w:asciiTheme="majorEastAsia" w:hAnsiTheme="majorEastAsia" w:eastAsiaTheme="majorEastAsia"/>
          <w:snapToGrid w:val="0"/>
          <w:color w:val="000000" w:themeColor="text1"/>
          <w:kern w:val="0"/>
          <w:sz w:val="24"/>
        </w:rPr>
        <w:t>1</w:t>
      </w:r>
      <w:r>
        <w:rPr>
          <w:rFonts w:hint="eastAsia" w:cs="宋体" w:asciiTheme="majorEastAsia" w:hAnsiTheme="majorEastAsia" w:eastAsiaTheme="majorEastAsia"/>
          <w:snapToGrid w:val="0"/>
          <w:color w:val="000000" w:themeColor="text1"/>
          <w:kern w:val="0"/>
          <w:sz w:val="24"/>
        </w:rPr>
        <w:t>、磋商人应当按照采购文件要求编制磋商文件，磋商文件应对采购文件提出的实质性要求和条件做出响应。</w:t>
      </w:r>
    </w:p>
    <w:p>
      <w:pPr>
        <w:shd w:val="clear" w:color="auto" w:fill="FFFFFF"/>
        <w:adjustRightInd w:val="0"/>
        <w:snapToGrid w:val="0"/>
        <w:spacing w:line="360" w:lineRule="auto"/>
        <w:ind w:firstLine="488" w:firstLineChars="200"/>
        <w:rPr>
          <w:rFonts w:cs="宋体" w:asciiTheme="majorEastAsia" w:hAnsiTheme="majorEastAsia" w:eastAsiaTheme="majorEastAsia"/>
          <w:snapToGrid w:val="0"/>
          <w:color w:val="000000" w:themeColor="text1"/>
          <w:spacing w:val="2"/>
          <w:kern w:val="0"/>
          <w:sz w:val="24"/>
        </w:rPr>
      </w:pPr>
      <w:r>
        <w:rPr>
          <w:rFonts w:cs="宋体" w:asciiTheme="majorEastAsia" w:hAnsiTheme="majorEastAsia" w:eastAsiaTheme="majorEastAsia"/>
          <w:snapToGrid w:val="0"/>
          <w:color w:val="000000" w:themeColor="text1"/>
          <w:spacing w:val="2"/>
          <w:kern w:val="0"/>
          <w:sz w:val="24"/>
        </w:rPr>
        <w:t>2</w:t>
      </w:r>
      <w:r>
        <w:rPr>
          <w:rFonts w:hint="eastAsia" w:cs="宋体" w:asciiTheme="majorEastAsia" w:hAnsiTheme="majorEastAsia" w:eastAsiaTheme="majorEastAsia"/>
          <w:snapToGrid w:val="0"/>
          <w:color w:val="000000" w:themeColor="text1"/>
          <w:spacing w:val="2"/>
          <w:kern w:val="0"/>
          <w:sz w:val="24"/>
        </w:rPr>
        <w:t>、磋商文件、采购人与磋商人之间与磋商有关的所有往来通知、函件等文书均应使用中文，磋商人随磋商文件提供的证明文件和资料可以使用其它语言，但必须附中文译文。除技术规范另有规定外，磋商文件使用的度量衡单位均采用中华人民共和国法定计量单位。</w:t>
      </w:r>
    </w:p>
    <w:p>
      <w:pPr>
        <w:shd w:val="clear" w:color="auto" w:fill="FFFFFF"/>
        <w:adjustRightInd w:val="0"/>
        <w:snapToGrid w:val="0"/>
        <w:spacing w:line="360" w:lineRule="auto"/>
        <w:ind w:firstLine="488" w:firstLineChars="200"/>
        <w:rPr>
          <w:rFonts w:cs="宋体" w:asciiTheme="majorEastAsia" w:hAnsiTheme="majorEastAsia" w:eastAsiaTheme="majorEastAsia"/>
          <w:snapToGrid w:val="0"/>
          <w:color w:val="000000" w:themeColor="text1"/>
          <w:spacing w:val="2"/>
          <w:kern w:val="0"/>
          <w:sz w:val="24"/>
        </w:rPr>
      </w:pPr>
      <w:r>
        <w:rPr>
          <w:rFonts w:cs="宋体" w:asciiTheme="majorEastAsia" w:hAnsiTheme="majorEastAsia" w:eastAsiaTheme="majorEastAsia"/>
          <w:snapToGrid w:val="0"/>
          <w:color w:val="000000" w:themeColor="text1"/>
          <w:spacing w:val="2"/>
          <w:kern w:val="0"/>
          <w:sz w:val="24"/>
        </w:rPr>
        <w:t>3</w:t>
      </w:r>
      <w:r>
        <w:rPr>
          <w:rFonts w:hint="eastAsia" w:cs="宋体" w:asciiTheme="majorEastAsia" w:hAnsiTheme="majorEastAsia" w:eastAsiaTheme="majorEastAsia"/>
          <w:snapToGrid w:val="0"/>
          <w:color w:val="000000" w:themeColor="text1"/>
          <w:spacing w:val="2"/>
          <w:kern w:val="0"/>
          <w:sz w:val="24"/>
        </w:rPr>
        <w:t>、磋商人的磋商文件应包括由资格审查资料原件、资格审查资料、技术商务标文件、报价文件四部分组成，具体应包括以下内容：</w:t>
      </w:r>
    </w:p>
    <w:p>
      <w:pPr>
        <w:shd w:val="clear" w:color="auto" w:fill="FFFFFF"/>
        <w:adjustRightInd w:val="0"/>
        <w:snapToGrid w:val="0"/>
        <w:spacing w:line="360" w:lineRule="auto"/>
        <w:ind w:firstLine="490" w:firstLineChars="200"/>
        <w:rPr>
          <w:rFonts w:cs="宋体" w:asciiTheme="majorEastAsia" w:hAnsiTheme="majorEastAsia" w:eastAsiaTheme="majorEastAsia"/>
          <w:b/>
          <w:bCs/>
          <w:snapToGrid w:val="0"/>
          <w:color w:val="000000" w:themeColor="text1"/>
          <w:spacing w:val="2"/>
          <w:kern w:val="0"/>
          <w:sz w:val="24"/>
        </w:rPr>
      </w:pPr>
      <w:r>
        <w:rPr>
          <w:rFonts w:cs="宋体" w:asciiTheme="majorEastAsia" w:hAnsiTheme="majorEastAsia" w:eastAsiaTheme="majorEastAsia"/>
          <w:b/>
          <w:bCs/>
          <w:snapToGrid w:val="0"/>
          <w:color w:val="000000" w:themeColor="text1"/>
          <w:spacing w:val="2"/>
          <w:kern w:val="0"/>
          <w:sz w:val="24"/>
        </w:rPr>
        <w:t>3.1</w:t>
      </w:r>
      <w:r>
        <w:rPr>
          <w:rFonts w:hint="eastAsia" w:cs="宋体" w:asciiTheme="majorEastAsia" w:hAnsiTheme="majorEastAsia" w:eastAsiaTheme="majorEastAsia"/>
          <w:b/>
          <w:bCs/>
          <w:snapToGrid w:val="0"/>
          <w:color w:val="000000" w:themeColor="text1"/>
          <w:spacing w:val="2"/>
          <w:kern w:val="0"/>
          <w:sz w:val="24"/>
        </w:rPr>
        <w:t>资格审查资料包（提供正本壹份、副本壹份，单独密封在一个封袋中，在封袋上加盖磋商供应商公章）：</w:t>
      </w:r>
    </w:p>
    <w:p>
      <w:pPr>
        <w:pStyle w:val="2"/>
        <w:spacing w:after="0" w:line="360" w:lineRule="auto"/>
        <w:ind w:left="0" w:leftChars="0" w:firstLine="48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w:t>
      </w:r>
      <w:r>
        <w:rPr>
          <w:rFonts w:asciiTheme="majorEastAsia" w:hAnsiTheme="majorEastAsia" w:eastAsiaTheme="majorEastAsia"/>
          <w:color w:val="000000" w:themeColor="text1"/>
          <w:sz w:val="24"/>
          <w:szCs w:val="24"/>
        </w:rPr>
        <w:t>1</w:t>
      </w:r>
      <w:r>
        <w:rPr>
          <w:rFonts w:hint="eastAsia" w:asciiTheme="majorEastAsia" w:hAnsiTheme="majorEastAsia" w:eastAsiaTheme="majorEastAsia"/>
          <w:color w:val="000000" w:themeColor="text1"/>
          <w:sz w:val="24"/>
          <w:szCs w:val="24"/>
        </w:rPr>
        <w:t>）投标承诺书原件（格式见附件）；</w:t>
      </w:r>
    </w:p>
    <w:p>
      <w:pPr>
        <w:pStyle w:val="2"/>
        <w:spacing w:after="0" w:line="360" w:lineRule="auto"/>
        <w:ind w:left="0" w:leftChars="0" w:firstLine="48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w:t>
      </w:r>
      <w:r>
        <w:rPr>
          <w:rFonts w:asciiTheme="majorEastAsia" w:hAnsiTheme="majorEastAsia" w:eastAsiaTheme="majorEastAsia"/>
          <w:color w:val="000000" w:themeColor="text1"/>
          <w:sz w:val="24"/>
          <w:szCs w:val="24"/>
        </w:rPr>
        <w:t>2</w:t>
      </w:r>
      <w:r>
        <w:rPr>
          <w:rFonts w:hint="eastAsia" w:asciiTheme="majorEastAsia" w:hAnsiTheme="majorEastAsia" w:eastAsiaTheme="majorEastAsia"/>
          <w:color w:val="000000" w:themeColor="text1"/>
          <w:sz w:val="24"/>
          <w:szCs w:val="24"/>
        </w:rPr>
        <w:t>）企业营业执照复印件（加盖投标单位公章）；</w:t>
      </w:r>
    </w:p>
    <w:p>
      <w:pPr>
        <w:pStyle w:val="2"/>
        <w:spacing w:after="0" w:line="360" w:lineRule="auto"/>
        <w:ind w:left="0" w:leftChars="0" w:firstLine="48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（3）特种设备安装改造维修许可证资质证书复印件（加盖投标单位公章）；</w:t>
      </w:r>
    </w:p>
    <w:p>
      <w:pPr>
        <w:pStyle w:val="2"/>
        <w:spacing w:after="0" w:line="360" w:lineRule="auto"/>
        <w:ind w:left="0" w:leftChars="0" w:firstLine="48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（4）质量技术监督局电梯维修保养备案证明文件复印件（加盖投标单位公章）；</w:t>
      </w:r>
    </w:p>
    <w:p>
      <w:pPr>
        <w:pStyle w:val="2"/>
        <w:spacing w:after="0" w:line="360" w:lineRule="auto"/>
        <w:ind w:left="0" w:leftChars="0" w:firstLine="48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（5）2018年度的企业财务状况报告</w:t>
      </w:r>
      <w:r>
        <w:rPr>
          <w:rFonts w:asciiTheme="majorEastAsia" w:hAnsiTheme="majorEastAsia" w:eastAsiaTheme="majorEastAsia"/>
          <w:color w:val="000000" w:themeColor="text1"/>
          <w:sz w:val="24"/>
          <w:szCs w:val="24"/>
        </w:rPr>
        <w:t>（成立不满一年不需提供）</w:t>
      </w:r>
      <w:r>
        <w:rPr>
          <w:rFonts w:hint="eastAsia" w:asciiTheme="majorEastAsia" w:hAnsiTheme="majorEastAsia" w:eastAsiaTheme="majorEastAsia"/>
          <w:color w:val="000000" w:themeColor="text1"/>
          <w:sz w:val="24"/>
          <w:szCs w:val="24"/>
        </w:rPr>
        <w:t>；</w:t>
      </w:r>
    </w:p>
    <w:p>
      <w:pPr>
        <w:pStyle w:val="2"/>
        <w:spacing w:after="0" w:line="360" w:lineRule="auto"/>
        <w:ind w:left="0" w:leftChars="0" w:firstLine="48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（6）</w:t>
      </w:r>
      <w:r>
        <w:rPr>
          <w:rFonts w:asciiTheme="majorEastAsia" w:hAnsiTheme="majorEastAsia" w:eastAsiaTheme="majorEastAsia"/>
          <w:color w:val="000000" w:themeColor="text1"/>
          <w:sz w:val="24"/>
          <w:szCs w:val="24"/>
        </w:rPr>
        <w:t>依法缴纳税收和社会保障资金的相关材料；</w:t>
      </w:r>
    </w:p>
    <w:p>
      <w:pPr>
        <w:pStyle w:val="2"/>
        <w:spacing w:after="0" w:line="360" w:lineRule="auto"/>
        <w:ind w:left="0" w:leftChars="0" w:firstLine="48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7</w:t>
      </w:r>
      <w:r>
        <w:rPr>
          <w:rFonts w:asciiTheme="majorEastAsia" w:hAnsiTheme="majorEastAsia" w:eastAsiaTheme="majorEastAsia"/>
          <w:color w:val="000000" w:themeColor="text1"/>
          <w:sz w:val="24"/>
          <w:szCs w:val="24"/>
        </w:rPr>
        <w:t>）具备履行合同所必需的设备和专业技术能力的证明材料；</w:t>
      </w:r>
    </w:p>
    <w:p>
      <w:pPr>
        <w:pStyle w:val="2"/>
        <w:spacing w:after="0" w:line="360" w:lineRule="auto"/>
        <w:ind w:left="0" w:leftChars="0" w:firstLine="48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（8）磋商响应供应商须提供参与本次项目政府采购活动前三年内在经营活动中没有重大违法记录的书面《无重大违法记录声明函》（须加盖公章）。</w:t>
      </w:r>
    </w:p>
    <w:p>
      <w:pPr>
        <w:shd w:val="clear" w:color="auto" w:fill="FFFFFF"/>
        <w:adjustRightInd w:val="0"/>
        <w:snapToGrid w:val="0"/>
        <w:spacing w:line="360" w:lineRule="auto"/>
        <w:ind w:firstLine="488" w:firstLineChars="200"/>
        <w:rPr>
          <w:rFonts w:cs="宋体" w:asciiTheme="majorEastAsia" w:hAnsiTheme="majorEastAsia" w:eastAsiaTheme="majorEastAsia"/>
          <w:snapToGrid w:val="0"/>
          <w:color w:val="000000" w:themeColor="text1"/>
          <w:spacing w:val="2"/>
          <w:kern w:val="0"/>
          <w:sz w:val="24"/>
        </w:rPr>
      </w:pPr>
      <w:r>
        <w:rPr>
          <w:rFonts w:hint="eastAsia" w:cs="宋体" w:asciiTheme="majorEastAsia" w:hAnsiTheme="majorEastAsia" w:eastAsiaTheme="majorEastAsia"/>
          <w:snapToGrid w:val="0"/>
          <w:color w:val="000000" w:themeColor="text1"/>
          <w:spacing w:val="2"/>
          <w:kern w:val="0"/>
          <w:sz w:val="24"/>
        </w:rPr>
        <w:t>以上（2）-（7）所有资料提供原件，密封在资格审查资料原件包中；</w:t>
      </w:r>
    </w:p>
    <w:p>
      <w:pPr>
        <w:shd w:val="clear" w:color="auto" w:fill="FFFFFF"/>
        <w:adjustRightInd w:val="0"/>
        <w:snapToGrid w:val="0"/>
        <w:spacing w:line="360" w:lineRule="auto"/>
        <w:ind w:firstLine="488" w:firstLineChars="200"/>
        <w:rPr>
          <w:rFonts w:cs="宋体" w:asciiTheme="majorEastAsia" w:hAnsiTheme="majorEastAsia" w:eastAsiaTheme="majorEastAsia"/>
          <w:snapToGrid w:val="0"/>
          <w:color w:val="000000" w:themeColor="text1"/>
          <w:spacing w:val="2"/>
          <w:kern w:val="0"/>
          <w:sz w:val="24"/>
        </w:rPr>
      </w:pPr>
      <w:r>
        <w:rPr>
          <w:rFonts w:hint="eastAsia" w:cs="宋体" w:asciiTheme="majorEastAsia" w:hAnsiTheme="majorEastAsia" w:eastAsiaTheme="majorEastAsia"/>
          <w:snapToGrid w:val="0"/>
          <w:color w:val="000000" w:themeColor="text1"/>
          <w:spacing w:val="2"/>
          <w:kern w:val="0"/>
          <w:sz w:val="24"/>
        </w:rPr>
        <w:t>上述(1)-(8)中任何一条不符合要求的，则资格审查不通过。</w:t>
      </w:r>
    </w:p>
    <w:p>
      <w:pPr>
        <w:snapToGrid w:val="0"/>
        <w:spacing w:line="360" w:lineRule="auto"/>
        <w:ind w:firstLine="435"/>
        <w:rPr>
          <w:rFonts w:asciiTheme="majorEastAsia" w:hAnsiTheme="majorEastAsia" w:eastAsiaTheme="majorEastAsia"/>
          <w:color w:val="000000" w:themeColor="text1"/>
          <w:sz w:val="24"/>
        </w:rPr>
      </w:pPr>
      <w:r>
        <w:rPr>
          <w:rFonts w:asciiTheme="majorEastAsia" w:hAnsiTheme="majorEastAsia" w:eastAsiaTheme="majorEastAsia"/>
          <w:b/>
          <w:bCs/>
          <w:color w:val="000000" w:themeColor="text1"/>
          <w:sz w:val="24"/>
        </w:rPr>
        <w:t>3.2</w:t>
      </w:r>
      <w:r>
        <w:rPr>
          <w:rFonts w:hint="eastAsia" w:asciiTheme="majorEastAsia" w:hAnsiTheme="majorEastAsia" w:eastAsiaTheme="majorEastAsia"/>
          <w:b/>
          <w:bCs/>
          <w:color w:val="000000" w:themeColor="text1"/>
          <w:sz w:val="24"/>
        </w:rPr>
        <w:t>资格审查资料原件包（原件单独密封在一个封袋中，以便在开标时核查，在封袋上加盖磋商供应商公章）</w:t>
      </w:r>
      <w:r>
        <w:rPr>
          <w:rFonts w:hint="eastAsia" w:asciiTheme="majorEastAsia" w:hAnsiTheme="majorEastAsia" w:eastAsiaTheme="majorEastAsia"/>
          <w:color w:val="000000" w:themeColor="text1"/>
          <w:sz w:val="24"/>
        </w:rPr>
        <w:t>：</w:t>
      </w:r>
    </w:p>
    <w:p>
      <w:pPr>
        <w:widowControl/>
        <w:spacing w:line="360" w:lineRule="auto"/>
        <w:ind w:firstLine="470" w:firstLineChars="196"/>
        <w:jc w:val="left"/>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上述资格审查资料部分（2）-（7）</w:t>
      </w:r>
      <w:r>
        <w:rPr>
          <w:rFonts w:hint="eastAsia" w:cs="宋体" w:asciiTheme="majorEastAsia" w:hAnsiTheme="majorEastAsia" w:eastAsiaTheme="majorEastAsia"/>
          <w:snapToGrid w:val="0"/>
          <w:color w:val="000000" w:themeColor="text1"/>
          <w:spacing w:val="2"/>
          <w:kern w:val="0"/>
          <w:sz w:val="24"/>
        </w:rPr>
        <w:t>所有资料</w:t>
      </w:r>
      <w:r>
        <w:rPr>
          <w:rFonts w:hint="eastAsia" w:asciiTheme="majorEastAsia" w:hAnsiTheme="majorEastAsia" w:eastAsiaTheme="majorEastAsia"/>
          <w:color w:val="000000" w:themeColor="text1"/>
          <w:sz w:val="24"/>
        </w:rPr>
        <w:t>原件，</w:t>
      </w:r>
      <w:r>
        <w:rPr>
          <w:rFonts w:hint="eastAsia" w:asciiTheme="majorEastAsia" w:hAnsiTheme="majorEastAsia" w:eastAsiaTheme="majorEastAsia"/>
          <w:b/>
          <w:color w:val="000000" w:themeColor="text1"/>
          <w:sz w:val="24"/>
          <w:szCs w:val="24"/>
        </w:rPr>
        <w:t>技术商务标</w:t>
      </w:r>
      <w:r>
        <w:rPr>
          <w:rFonts w:hint="eastAsia" w:asciiTheme="majorEastAsia" w:hAnsiTheme="majorEastAsia" w:eastAsiaTheme="majorEastAsia"/>
          <w:b/>
          <w:bCs/>
          <w:color w:val="000000" w:themeColor="text1"/>
          <w:sz w:val="24"/>
          <w:szCs w:val="24"/>
        </w:rPr>
        <w:t>涉及的证书、证明材料、合同等相关原件</w:t>
      </w:r>
      <w:r>
        <w:rPr>
          <w:rFonts w:hint="eastAsia" w:asciiTheme="majorEastAsia" w:hAnsiTheme="majorEastAsia" w:eastAsiaTheme="majorEastAsia"/>
          <w:color w:val="000000" w:themeColor="text1"/>
          <w:sz w:val="24"/>
        </w:rPr>
        <w:t>。</w:t>
      </w:r>
    </w:p>
    <w:p>
      <w:pPr>
        <w:shd w:val="clear" w:color="auto" w:fill="FFFFFF"/>
        <w:adjustRightInd w:val="0"/>
        <w:snapToGrid w:val="0"/>
        <w:spacing w:line="360" w:lineRule="auto"/>
        <w:ind w:firstLine="482" w:firstLineChars="200"/>
        <w:jc w:val="left"/>
        <w:rPr>
          <w:rFonts w:cs="宋体" w:asciiTheme="majorEastAsia" w:hAnsiTheme="majorEastAsia" w:eastAsiaTheme="majorEastAsia"/>
          <w:snapToGrid w:val="0"/>
          <w:color w:val="000000" w:themeColor="text1"/>
          <w:kern w:val="0"/>
          <w:sz w:val="24"/>
        </w:rPr>
      </w:pPr>
      <w:r>
        <w:rPr>
          <w:rFonts w:asciiTheme="majorEastAsia" w:hAnsiTheme="majorEastAsia" w:eastAsiaTheme="majorEastAsia"/>
          <w:b/>
          <w:color w:val="000000" w:themeColor="text1"/>
          <w:sz w:val="24"/>
          <w:szCs w:val="24"/>
        </w:rPr>
        <w:t>3.3</w:t>
      </w:r>
      <w:r>
        <w:rPr>
          <w:rFonts w:hint="eastAsia" w:asciiTheme="majorEastAsia" w:hAnsiTheme="majorEastAsia" w:eastAsiaTheme="majorEastAsia"/>
          <w:b/>
          <w:color w:val="000000" w:themeColor="text1"/>
          <w:sz w:val="24"/>
          <w:szCs w:val="24"/>
        </w:rPr>
        <w:t>报价文件包括但不限于以下内容</w:t>
      </w:r>
      <w:r>
        <w:rPr>
          <w:rFonts w:hint="eastAsia" w:cs="宋体" w:asciiTheme="majorEastAsia" w:hAnsiTheme="majorEastAsia" w:eastAsiaTheme="majorEastAsia"/>
          <w:b/>
          <w:bCs/>
          <w:snapToGrid w:val="0"/>
          <w:color w:val="000000" w:themeColor="text1"/>
          <w:spacing w:val="2"/>
          <w:kern w:val="0"/>
          <w:sz w:val="24"/>
        </w:rPr>
        <w:t>（提供正本壹份、副本壹份，单独密封在一个封袋中，在封袋上加盖磋商供应商公章）</w:t>
      </w:r>
    </w:p>
    <w:p>
      <w:pPr>
        <w:shd w:val="clear" w:color="auto" w:fill="FFFFFF"/>
        <w:adjustRightInd w:val="0"/>
        <w:snapToGrid w:val="0"/>
        <w:spacing w:line="360" w:lineRule="auto"/>
        <w:ind w:firstLine="600" w:firstLineChars="250"/>
        <w:jc w:val="left"/>
        <w:rPr>
          <w:rFonts w:cs="宋体" w:asciiTheme="majorEastAsia" w:hAnsiTheme="majorEastAsia" w:eastAsiaTheme="majorEastAsia"/>
          <w:snapToGrid w:val="0"/>
          <w:color w:val="000000" w:themeColor="text1"/>
          <w:spacing w:val="-10"/>
          <w:kern w:val="0"/>
          <w:sz w:val="24"/>
        </w:rPr>
      </w:pPr>
      <w:r>
        <w:rPr>
          <w:rFonts w:hint="eastAsia" w:cs="宋体" w:asciiTheme="majorEastAsia" w:hAnsiTheme="majorEastAsia" w:eastAsiaTheme="majorEastAsia"/>
          <w:snapToGrid w:val="0"/>
          <w:color w:val="000000" w:themeColor="text1"/>
          <w:kern w:val="0"/>
          <w:sz w:val="24"/>
        </w:rPr>
        <w:t>（</w:t>
      </w:r>
      <w:r>
        <w:rPr>
          <w:rFonts w:cs="宋体" w:asciiTheme="majorEastAsia" w:hAnsiTheme="majorEastAsia" w:eastAsiaTheme="majorEastAsia"/>
          <w:snapToGrid w:val="0"/>
          <w:color w:val="000000" w:themeColor="text1"/>
          <w:kern w:val="0"/>
          <w:sz w:val="24"/>
        </w:rPr>
        <w:t>1</w:t>
      </w:r>
      <w:r>
        <w:rPr>
          <w:rFonts w:hint="eastAsia" w:cs="宋体" w:asciiTheme="majorEastAsia" w:hAnsiTheme="majorEastAsia" w:eastAsiaTheme="majorEastAsia"/>
          <w:snapToGrid w:val="0"/>
          <w:color w:val="000000" w:themeColor="text1"/>
          <w:kern w:val="0"/>
          <w:sz w:val="24"/>
        </w:rPr>
        <w:t>）</w:t>
      </w:r>
      <w:r>
        <w:rPr>
          <w:rFonts w:hint="eastAsia" w:cs="宋体" w:asciiTheme="majorEastAsia" w:hAnsiTheme="majorEastAsia" w:eastAsiaTheme="majorEastAsia"/>
          <w:snapToGrid w:val="0"/>
          <w:color w:val="000000" w:themeColor="text1"/>
          <w:spacing w:val="-10"/>
          <w:kern w:val="0"/>
          <w:sz w:val="24"/>
        </w:rPr>
        <w:t>法人授权委托书</w:t>
      </w:r>
    </w:p>
    <w:p>
      <w:pPr>
        <w:shd w:val="clear" w:color="auto" w:fill="FFFFFF"/>
        <w:adjustRightInd w:val="0"/>
        <w:snapToGrid w:val="0"/>
        <w:spacing w:line="360" w:lineRule="auto"/>
        <w:ind w:firstLine="600" w:firstLineChars="250"/>
        <w:jc w:val="left"/>
        <w:rPr>
          <w:rFonts w:cs="宋体" w:asciiTheme="majorEastAsia" w:hAnsiTheme="majorEastAsia" w:eastAsiaTheme="majorEastAsia"/>
          <w:snapToGrid w:val="0"/>
          <w:color w:val="000000" w:themeColor="text1"/>
          <w:kern w:val="0"/>
          <w:sz w:val="24"/>
        </w:rPr>
      </w:pPr>
      <w:r>
        <w:rPr>
          <w:rFonts w:hint="eastAsia" w:cs="宋体" w:asciiTheme="majorEastAsia" w:hAnsiTheme="majorEastAsia" w:eastAsiaTheme="majorEastAsia"/>
          <w:snapToGrid w:val="0"/>
          <w:color w:val="000000" w:themeColor="text1"/>
          <w:kern w:val="0"/>
          <w:sz w:val="24"/>
        </w:rPr>
        <w:t>（</w:t>
      </w:r>
      <w:r>
        <w:rPr>
          <w:rFonts w:cs="宋体" w:asciiTheme="majorEastAsia" w:hAnsiTheme="majorEastAsia" w:eastAsiaTheme="majorEastAsia"/>
          <w:snapToGrid w:val="0"/>
          <w:color w:val="000000" w:themeColor="text1"/>
          <w:kern w:val="0"/>
          <w:sz w:val="24"/>
        </w:rPr>
        <w:t>2</w:t>
      </w:r>
      <w:r>
        <w:rPr>
          <w:rFonts w:hint="eastAsia" w:cs="宋体" w:asciiTheme="majorEastAsia" w:hAnsiTheme="majorEastAsia" w:eastAsiaTheme="majorEastAsia"/>
          <w:snapToGrid w:val="0"/>
          <w:color w:val="000000" w:themeColor="text1"/>
          <w:kern w:val="0"/>
          <w:sz w:val="24"/>
        </w:rPr>
        <w:t>）磋商报价表</w:t>
      </w:r>
    </w:p>
    <w:p>
      <w:pPr>
        <w:pStyle w:val="2"/>
        <w:spacing w:after="0" w:line="360" w:lineRule="auto"/>
        <w:ind w:left="0" w:leftChars="0" w:firstLine="480"/>
        <w:rPr>
          <w:rFonts w:cs="宋体" w:asciiTheme="majorEastAsia" w:hAnsiTheme="majorEastAsia" w:eastAsiaTheme="majorEastAsia"/>
          <w:snapToGrid w:val="0"/>
          <w:color w:val="000000" w:themeColor="text1"/>
          <w:kern w:val="0"/>
          <w:sz w:val="24"/>
        </w:rPr>
      </w:pPr>
      <w:r>
        <w:rPr>
          <w:rFonts w:hint="eastAsia" w:cs="宋体" w:asciiTheme="majorEastAsia" w:hAnsiTheme="majorEastAsia" w:eastAsiaTheme="majorEastAsia"/>
          <w:snapToGrid w:val="0"/>
          <w:color w:val="000000" w:themeColor="text1"/>
          <w:kern w:val="0"/>
          <w:sz w:val="24"/>
        </w:rPr>
        <w:t>（3）磋商报价明细表（格式自拟）</w:t>
      </w:r>
    </w:p>
    <w:p>
      <w:pPr>
        <w:shd w:val="clear" w:color="auto" w:fill="FFFFFF"/>
        <w:adjustRightInd w:val="0"/>
        <w:snapToGrid w:val="0"/>
        <w:spacing w:line="360" w:lineRule="auto"/>
        <w:ind w:firstLine="482" w:firstLineChars="200"/>
        <w:jc w:val="left"/>
        <w:rPr>
          <w:rFonts w:asciiTheme="majorEastAsia" w:hAnsiTheme="majorEastAsia" w:eastAsiaTheme="majorEastAsia"/>
          <w:b/>
          <w:color w:val="000000" w:themeColor="text1"/>
          <w:sz w:val="24"/>
          <w:szCs w:val="24"/>
        </w:rPr>
      </w:pPr>
      <w:r>
        <w:rPr>
          <w:rFonts w:asciiTheme="majorEastAsia" w:hAnsiTheme="majorEastAsia" w:eastAsiaTheme="majorEastAsia"/>
          <w:b/>
          <w:color w:val="000000" w:themeColor="text1"/>
          <w:sz w:val="24"/>
          <w:szCs w:val="24"/>
        </w:rPr>
        <w:t>3.4</w:t>
      </w:r>
      <w:r>
        <w:rPr>
          <w:rFonts w:hint="eastAsia" w:asciiTheme="majorEastAsia" w:hAnsiTheme="majorEastAsia" w:eastAsiaTheme="majorEastAsia"/>
          <w:b/>
          <w:color w:val="000000" w:themeColor="text1"/>
          <w:sz w:val="24"/>
          <w:szCs w:val="24"/>
        </w:rPr>
        <w:t>技术商务标文件按照招标文件第三章“采购需求”及评标办法填写（提供正本壹份、副本壹份，单独密封在一个封袋中，在封袋上加盖磋商供应商公章）</w:t>
      </w:r>
    </w:p>
    <w:p>
      <w:pPr>
        <w:shd w:val="clear" w:color="auto" w:fill="FFFFFF"/>
        <w:adjustRightInd w:val="0"/>
        <w:snapToGrid w:val="0"/>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根据评标办法中涉及的事项，磋商供应商提交相关资料。</w:t>
      </w:r>
    </w:p>
    <w:p>
      <w:pPr>
        <w:snapToGrid w:val="0"/>
        <w:spacing w:line="360" w:lineRule="auto"/>
        <w:ind w:firstLine="435"/>
        <w:rPr>
          <w:rFonts w:cs="宋体" w:asciiTheme="majorEastAsia" w:hAnsiTheme="majorEastAsia" w:eastAsiaTheme="majorEastAsia"/>
          <w:snapToGrid w:val="0"/>
          <w:color w:val="000000" w:themeColor="text1"/>
          <w:kern w:val="0"/>
          <w:sz w:val="24"/>
        </w:rPr>
      </w:pPr>
      <w:r>
        <w:rPr>
          <w:rFonts w:hint="eastAsia" w:asciiTheme="majorEastAsia" w:hAnsiTheme="majorEastAsia" w:eastAsiaTheme="majorEastAsia"/>
          <w:b/>
          <w:bCs/>
          <w:color w:val="000000" w:themeColor="text1"/>
          <w:sz w:val="24"/>
          <w:szCs w:val="24"/>
        </w:rPr>
        <w:t>以上</w:t>
      </w:r>
      <w:r>
        <w:rPr>
          <w:rFonts w:hint="eastAsia" w:asciiTheme="majorEastAsia" w:hAnsiTheme="majorEastAsia" w:eastAsiaTheme="majorEastAsia"/>
          <w:b/>
          <w:color w:val="000000" w:themeColor="text1"/>
          <w:sz w:val="24"/>
          <w:szCs w:val="24"/>
        </w:rPr>
        <w:t>技术商务标</w:t>
      </w:r>
      <w:r>
        <w:rPr>
          <w:rFonts w:hint="eastAsia" w:asciiTheme="majorEastAsia" w:hAnsiTheme="majorEastAsia" w:eastAsiaTheme="majorEastAsia"/>
          <w:b/>
          <w:bCs/>
          <w:color w:val="000000" w:themeColor="text1"/>
          <w:sz w:val="24"/>
          <w:szCs w:val="24"/>
        </w:rPr>
        <w:t>涉及的证书、证明材料、合同等相关原件</w:t>
      </w:r>
      <w:r>
        <w:rPr>
          <w:rFonts w:hint="eastAsia" w:asciiTheme="majorEastAsia" w:hAnsiTheme="majorEastAsia" w:eastAsiaTheme="majorEastAsia"/>
          <w:b/>
          <w:bCs/>
          <w:color w:val="000000" w:themeColor="text1"/>
          <w:sz w:val="24"/>
        </w:rPr>
        <w:t>装订在资格审查资料原件包中</w:t>
      </w:r>
      <w:r>
        <w:rPr>
          <w:rFonts w:hint="eastAsia" w:asciiTheme="majorEastAsia" w:hAnsiTheme="majorEastAsia" w:eastAsiaTheme="majorEastAsia"/>
          <w:b/>
          <w:bCs/>
          <w:color w:val="000000" w:themeColor="text1"/>
          <w:sz w:val="24"/>
          <w:szCs w:val="24"/>
        </w:rPr>
        <w:t>带至开标现场。</w:t>
      </w:r>
      <w:r>
        <w:rPr>
          <w:rFonts w:hint="eastAsia" w:asciiTheme="majorEastAsia" w:hAnsiTheme="majorEastAsia" w:eastAsiaTheme="majorEastAsia"/>
          <w:b/>
          <w:color w:val="000000" w:themeColor="text1"/>
          <w:sz w:val="24"/>
        </w:rPr>
        <w:t>因投标人自身原因，在评标工作期间，不能及时、完整、有效提供相关原件以供评委会查询，由此导致不利于投标文件的评审后果由投标人承担。</w:t>
      </w:r>
    </w:p>
    <w:p>
      <w:pPr>
        <w:shd w:val="clear" w:color="auto" w:fill="FFFFFF"/>
        <w:adjustRightInd w:val="0"/>
        <w:snapToGrid w:val="0"/>
        <w:spacing w:line="360" w:lineRule="auto"/>
        <w:ind w:firstLine="482" w:firstLineChars="200"/>
        <w:jc w:val="left"/>
        <w:rPr>
          <w:rFonts w:cs="宋体" w:asciiTheme="majorEastAsia" w:hAnsiTheme="majorEastAsia" w:eastAsiaTheme="majorEastAsia"/>
          <w:b/>
          <w:bCs/>
          <w:snapToGrid w:val="0"/>
          <w:color w:val="000000" w:themeColor="text1"/>
          <w:kern w:val="0"/>
          <w:sz w:val="24"/>
        </w:rPr>
      </w:pPr>
      <w:r>
        <w:rPr>
          <w:rFonts w:hint="eastAsia" w:cs="宋体" w:asciiTheme="majorEastAsia" w:hAnsiTheme="majorEastAsia" w:eastAsiaTheme="majorEastAsia"/>
          <w:b/>
          <w:bCs/>
          <w:snapToGrid w:val="0"/>
          <w:color w:val="000000" w:themeColor="text1"/>
          <w:kern w:val="0"/>
          <w:sz w:val="24"/>
        </w:rPr>
        <w:t>五、磋商文件的份数和签署</w:t>
      </w:r>
    </w:p>
    <w:p>
      <w:pPr>
        <w:shd w:val="clear" w:color="auto" w:fill="FFFFFF"/>
        <w:adjustRightInd w:val="0"/>
        <w:snapToGrid w:val="0"/>
        <w:spacing w:line="360" w:lineRule="auto"/>
        <w:ind w:firstLine="501" w:firstLineChars="209"/>
        <w:rPr>
          <w:rFonts w:cs="宋体" w:asciiTheme="majorEastAsia" w:hAnsiTheme="majorEastAsia" w:eastAsiaTheme="majorEastAsia"/>
          <w:snapToGrid w:val="0"/>
          <w:color w:val="000000" w:themeColor="text1"/>
          <w:kern w:val="0"/>
          <w:sz w:val="24"/>
        </w:rPr>
      </w:pPr>
      <w:r>
        <w:rPr>
          <w:rFonts w:hint="eastAsia" w:cs="宋体" w:asciiTheme="majorEastAsia" w:hAnsiTheme="majorEastAsia" w:eastAsiaTheme="majorEastAsia"/>
          <w:snapToGrid w:val="0"/>
          <w:color w:val="000000" w:themeColor="text1"/>
          <w:kern w:val="0"/>
          <w:sz w:val="24"/>
        </w:rPr>
        <w:t>（</w:t>
      </w:r>
      <w:r>
        <w:rPr>
          <w:rFonts w:cs="宋体" w:asciiTheme="majorEastAsia" w:hAnsiTheme="majorEastAsia" w:eastAsiaTheme="majorEastAsia"/>
          <w:snapToGrid w:val="0"/>
          <w:color w:val="000000" w:themeColor="text1"/>
          <w:kern w:val="0"/>
          <w:sz w:val="24"/>
        </w:rPr>
        <w:t>1</w:t>
      </w:r>
      <w:r>
        <w:rPr>
          <w:rFonts w:hint="eastAsia" w:cs="宋体" w:asciiTheme="majorEastAsia" w:hAnsiTheme="majorEastAsia" w:eastAsiaTheme="majorEastAsia"/>
          <w:snapToGrid w:val="0"/>
          <w:color w:val="000000" w:themeColor="text1"/>
          <w:kern w:val="0"/>
          <w:sz w:val="24"/>
        </w:rPr>
        <w:t>）磋商人必须编制一份磋商文件“正本”和采购文件中所要求份数的“副本”，并明确标明“正本”和“副本”。磋商文件正本和副本如有不一致之处，以正本为准。</w:t>
      </w:r>
    </w:p>
    <w:p>
      <w:pPr>
        <w:shd w:val="clear" w:color="auto" w:fill="FFFFFF"/>
        <w:adjustRightInd w:val="0"/>
        <w:snapToGrid w:val="0"/>
        <w:spacing w:line="360" w:lineRule="auto"/>
        <w:ind w:firstLine="501" w:firstLineChars="209"/>
        <w:rPr>
          <w:rFonts w:cs="宋体" w:asciiTheme="majorEastAsia" w:hAnsiTheme="majorEastAsia" w:eastAsiaTheme="majorEastAsia"/>
          <w:snapToGrid w:val="0"/>
          <w:color w:val="000000" w:themeColor="text1"/>
          <w:kern w:val="0"/>
          <w:sz w:val="24"/>
        </w:rPr>
      </w:pPr>
      <w:r>
        <w:rPr>
          <w:rFonts w:hint="eastAsia" w:cs="宋体" w:asciiTheme="majorEastAsia" w:hAnsiTheme="majorEastAsia" w:eastAsiaTheme="majorEastAsia"/>
          <w:snapToGrid w:val="0"/>
          <w:color w:val="000000" w:themeColor="text1"/>
          <w:kern w:val="0"/>
          <w:sz w:val="24"/>
        </w:rPr>
        <w:t>（</w:t>
      </w:r>
      <w:r>
        <w:rPr>
          <w:rFonts w:cs="宋体" w:asciiTheme="majorEastAsia" w:hAnsiTheme="majorEastAsia" w:eastAsiaTheme="majorEastAsia"/>
          <w:snapToGrid w:val="0"/>
          <w:color w:val="000000" w:themeColor="text1"/>
          <w:kern w:val="0"/>
          <w:sz w:val="24"/>
        </w:rPr>
        <w:t>2</w:t>
      </w:r>
      <w:r>
        <w:rPr>
          <w:rFonts w:hint="eastAsia" w:cs="宋体" w:asciiTheme="majorEastAsia" w:hAnsiTheme="majorEastAsia" w:eastAsiaTheme="majorEastAsia"/>
          <w:snapToGrid w:val="0"/>
          <w:color w:val="000000" w:themeColor="text1"/>
          <w:kern w:val="0"/>
          <w:sz w:val="24"/>
        </w:rPr>
        <w:t>）磋商文件正本与副本均应使用不能擦去的墨水书写或打印，由磋商人加盖公章和法定代表人或法定代表人委托的代理人加盖印章或签字。</w:t>
      </w:r>
    </w:p>
    <w:p>
      <w:pPr>
        <w:shd w:val="clear" w:color="auto" w:fill="FFFFFF"/>
        <w:adjustRightInd w:val="0"/>
        <w:snapToGrid w:val="0"/>
        <w:spacing w:line="360" w:lineRule="auto"/>
        <w:ind w:firstLine="482" w:firstLineChars="200"/>
        <w:rPr>
          <w:rFonts w:cs="宋体" w:asciiTheme="majorEastAsia" w:hAnsiTheme="majorEastAsia" w:eastAsiaTheme="majorEastAsia"/>
          <w:b/>
          <w:bCs/>
          <w:snapToGrid w:val="0"/>
          <w:color w:val="000000" w:themeColor="text1"/>
          <w:kern w:val="0"/>
          <w:sz w:val="24"/>
        </w:rPr>
      </w:pPr>
      <w:r>
        <w:rPr>
          <w:rFonts w:hint="eastAsia" w:cs="宋体" w:asciiTheme="majorEastAsia" w:hAnsiTheme="majorEastAsia" w:eastAsiaTheme="majorEastAsia"/>
          <w:b/>
          <w:bCs/>
          <w:snapToGrid w:val="0"/>
          <w:color w:val="000000" w:themeColor="text1"/>
          <w:kern w:val="0"/>
          <w:sz w:val="24"/>
        </w:rPr>
        <w:t>六、磋商文件的密封与标志</w:t>
      </w:r>
    </w:p>
    <w:p>
      <w:pPr>
        <w:shd w:val="clear" w:color="auto" w:fill="FFFFFF"/>
        <w:adjustRightInd w:val="0"/>
        <w:snapToGrid w:val="0"/>
        <w:spacing w:line="360" w:lineRule="auto"/>
        <w:ind w:firstLine="480" w:firstLineChars="200"/>
        <w:rPr>
          <w:rFonts w:cs="宋体" w:asciiTheme="majorEastAsia" w:hAnsiTheme="majorEastAsia" w:eastAsiaTheme="majorEastAsia"/>
          <w:snapToGrid w:val="0"/>
          <w:color w:val="000000" w:themeColor="text1"/>
          <w:kern w:val="0"/>
          <w:sz w:val="24"/>
        </w:rPr>
      </w:pPr>
      <w:r>
        <w:rPr>
          <w:rFonts w:hint="eastAsia" w:cs="宋体" w:asciiTheme="majorEastAsia" w:hAnsiTheme="majorEastAsia" w:eastAsiaTheme="majorEastAsia"/>
          <w:snapToGrid w:val="0"/>
          <w:color w:val="000000" w:themeColor="text1"/>
          <w:kern w:val="0"/>
          <w:sz w:val="24"/>
        </w:rPr>
        <w:t>（</w:t>
      </w:r>
      <w:r>
        <w:rPr>
          <w:rFonts w:cs="宋体" w:asciiTheme="majorEastAsia" w:hAnsiTheme="majorEastAsia" w:eastAsiaTheme="majorEastAsia"/>
          <w:snapToGrid w:val="0"/>
          <w:color w:val="000000" w:themeColor="text1"/>
          <w:kern w:val="0"/>
          <w:sz w:val="24"/>
        </w:rPr>
        <w:t>1</w:t>
      </w:r>
      <w:r>
        <w:rPr>
          <w:rFonts w:hint="eastAsia" w:cs="宋体" w:asciiTheme="majorEastAsia" w:hAnsiTheme="majorEastAsia" w:eastAsiaTheme="majorEastAsia"/>
          <w:snapToGrid w:val="0"/>
          <w:color w:val="000000" w:themeColor="text1"/>
          <w:kern w:val="0"/>
          <w:sz w:val="24"/>
        </w:rPr>
        <w:t>）磋商供应商应准备</w:t>
      </w:r>
      <w:r>
        <w:rPr>
          <w:rFonts w:hint="eastAsia" w:cs="宋体" w:asciiTheme="majorEastAsia" w:hAnsiTheme="majorEastAsia" w:eastAsiaTheme="majorEastAsia"/>
          <w:b/>
          <w:bCs/>
          <w:snapToGrid w:val="0"/>
          <w:color w:val="000000" w:themeColor="text1"/>
          <w:kern w:val="0"/>
          <w:sz w:val="24"/>
          <w:u w:val="single"/>
        </w:rPr>
        <w:t>贰</w:t>
      </w:r>
      <w:r>
        <w:rPr>
          <w:rFonts w:hint="eastAsia" w:cs="宋体" w:asciiTheme="majorEastAsia" w:hAnsiTheme="majorEastAsia" w:eastAsiaTheme="majorEastAsia"/>
          <w:snapToGrid w:val="0"/>
          <w:color w:val="000000" w:themeColor="text1"/>
          <w:kern w:val="0"/>
          <w:sz w:val="24"/>
        </w:rPr>
        <w:t>份完整的投标文件，其中正本</w:t>
      </w:r>
      <w:r>
        <w:rPr>
          <w:rFonts w:hint="eastAsia" w:cs="宋体" w:asciiTheme="majorEastAsia" w:hAnsiTheme="majorEastAsia" w:eastAsiaTheme="majorEastAsia"/>
          <w:b/>
          <w:bCs/>
          <w:snapToGrid w:val="0"/>
          <w:color w:val="000000" w:themeColor="text1"/>
          <w:kern w:val="0"/>
          <w:sz w:val="24"/>
          <w:u w:val="single"/>
        </w:rPr>
        <w:t>壹</w:t>
      </w:r>
      <w:r>
        <w:rPr>
          <w:rFonts w:hint="eastAsia" w:cs="宋体" w:asciiTheme="majorEastAsia" w:hAnsiTheme="majorEastAsia" w:eastAsiaTheme="majorEastAsia"/>
          <w:snapToGrid w:val="0"/>
          <w:color w:val="000000" w:themeColor="text1"/>
          <w:kern w:val="0"/>
          <w:sz w:val="24"/>
        </w:rPr>
        <w:t>份，副本</w:t>
      </w:r>
      <w:r>
        <w:rPr>
          <w:rFonts w:hint="eastAsia" w:cs="宋体" w:asciiTheme="majorEastAsia" w:hAnsiTheme="majorEastAsia" w:eastAsiaTheme="majorEastAsia"/>
          <w:b/>
          <w:bCs/>
          <w:snapToGrid w:val="0"/>
          <w:color w:val="000000" w:themeColor="text1"/>
          <w:kern w:val="0"/>
          <w:sz w:val="24"/>
          <w:u w:val="single"/>
        </w:rPr>
        <w:t>壹</w:t>
      </w:r>
      <w:r>
        <w:rPr>
          <w:rFonts w:hint="eastAsia" w:cs="宋体" w:asciiTheme="majorEastAsia" w:hAnsiTheme="majorEastAsia" w:eastAsiaTheme="majorEastAsia"/>
          <w:snapToGrid w:val="0"/>
          <w:color w:val="000000" w:themeColor="text1"/>
          <w:kern w:val="0"/>
          <w:sz w:val="24"/>
        </w:rPr>
        <w:t>份，并标明“正本”或“副本”字样。</w:t>
      </w:r>
    </w:p>
    <w:p>
      <w:pPr>
        <w:shd w:val="clear" w:color="auto" w:fill="FFFFFF"/>
        <w:adjustRightInd w:val="0"/>
        <w:snapToGrid w:val="0"/>
        <w:spacing w:line="360" w:lineRule="auto"/>
        <w:ind w:firstLine="480" w:firstLineChars="200"/>
        <w:rPr>
          <w:rFonts w:cs="宋体" w:asciiTheme="majorEastAsia" w:hAnsiTheme="majorEastAsia" w:eastAsiaTheme="majorEastAsia"/>
          <w:snapToGrid w:val="0"/>
          <w:color w:val="000000" w:themeColor="text1"/>
          <w:kern w:val="0"/>
          <w:sz w:val="24"/>
        </w:rPr>
      </w:pPr>
      <w:r>
        <w:rPr>
          <w:rFonts w:hint="eastAsia" w:cs="宋体" w:asciiTheme="majorEastAsia" w:hAnsiTheme="majorEastAsia" w:eastAsiaTheme="majorEastAsia"/>
          <w:snapToGrid w:val="0"/>
          <w:color w:val="000000" w:themeColor="text1"/>
          <w:kern w:val="0"/>
          <w:sz w:val="24"/>
        </w:rPr>
        <w:t>（</w:t>
      </w:r>
      <w:r>
        <w:rPr>
          <w:rFonts w:cs="宋体" w:asciiTheme="majorEastAsia" w:hAnsiTheme="majorEastAsia" w:eastAsiaTheme="majorEastAsia"/>
          <w:snapToGrid w:val="0"/>
          <w:color w:val="000000" w:themeColor="text1"/>
          <w:kern w:val="0"/>
          <w:sz w:val="24"/>
        </w:rPr>
        <w:t>2</w:t>
      </w:r>
      <w:r>
        <w:rPr>
          <w:rFonts w:hint="eastAsia" w:cs="宋体" w:asciiTheme="majorEastAsia" w:hAnsiTheme="majorEastAsia" w:eastAsiaTheme="majorEastAsia"/>
          <w:snapToGrid w:val="0"/>
          <w:color w:val="000000" w:themeColor="text1"/>
          <w:kern w:val="0"/>
          <w:sz w:val="24"/>
        </w:rPr>
        <w:t>）投标文件分为</w:t>
      </w:r>
      <w:r>
        <w:rPr>
          <w:rFonts w:hint="eastAsia" w:cs="宋体" w:asciiTheme="majorEastAsia" w:hAnsiTheme="majorEastAsia" w:eastAsiaTheme="majorEastAsia"/>
          <w:snapToGrid w:val="0"/>
          <w:color w:val="000000" w:themeColor="text1"/>
          <w:spacing w:val="2"/>
          <w:kern w:val="0"/>
          <w:sz w:val="24"/>
        </w:rPr>
        <w:t>资格审查资料原件、资格审查资料、</w:t>
      </w:r>
      <w:r>
        <w:rPr>
          <w:rFonts w:hint="eastAsia" w:cs="宋体" w:asciiTheme="majorEastAsia" w:hAnsiTheme="majorEastAsia" w:eastAsiaTheme="majorEastAsia"/>
          <w:snapToGrid w:val="0"/>
          <w:color w:val="000000" w:themeColor="text1"/>
          <w:kern w:val="0"/>
          <w:sz w:val="24"/>
        </w:rPr>
        <w:t>技术商务标、报价标四部分。</w:t>
      </w:r>
      <w:r>
        <w:rPr>
          <w:rFonts w:hint="eastAsia" w:cs="宋体" w:asciiTheme="majorEastAsia" w:hAnsiTheme="majorEastAsia" w:eastAsiaTheme="majorEastAsia"/>
          <w:snapToGrid w:val="0"/>
          <w:color w:val="000000" w:themeColor="text1"/>
          <w:spacing w:val="2"/>
          <w:kern w:val="0"/>
          <w:sz w:val="24"/>
        </w:rPr>
        <w:t>资格审查资料原件、资格审查资料、</w:t>
      </w:r>
      <w:r>
        <w:rPr>
          <w:rFonts w:hint="eastAsia" w:cs="宋体" w:asciiTheme="majorEastAsia" w:hAnsiTheme="majorEastAsia" w:eastAsiaTheme="majorEastAsia"/>
          <w:snapToGrid w:val="0"/>
          <w:color w:val="000000" w:themeColor="text1"/>
          <w:kern w:val="0"/>
          <w:sz w:val="24"/>
        </w:rPr>
        <w:t>技术商务标、报价标必须分别密封，并在封袋上标明“</w:t>
      </w:r>
      <w:r>
        <w:rPr>
          <w:rFonts w:hint="eastAsia" w:cs="宋体" w:asciiTheme="majorEastAsia" w:hAnsiTheme="majorEastAsia" w:eastAsiaTheme="majorEastAsia"/>
          <w:snapToGrid w:val="0"/>
          <w:color w:val="000000" w:themeColor="text1"/>
          <w:spacing w:val="2"/>
          <w:kern w:val="0"/>
          <w:sz w:val="24"/>
        </w:rPr>
        <w:t>资格审查资料原件</w:t>
      </w:r>
      <w:r>
        <w:rPr>
          <w:rFonts w:hint="eastAsia" w:cs="宋体" w:asciiTheme="majorEastAsia" w:hAnsiTheme="majorEastAsia" w:eastAsiaTheme="majorEastAsia"/>
          <w:snapToGrid w:val="0"/>
          <w:color w:val="000000" w:themeColor="text1"/>
          <w:kern w:val="0"/>
          <w:sz w:val="24"/>
        </w:rPr>
        <w:t>”</w:t>
      </w:r>
      <w:r>
        <w:rPr>
          <w:rFonts w:hint="eastAsia" w:cs="宋体" w:asciiTheme="majorEastAsia" w:hAnsiTheme="majorEastAsia" w:eastAsiaTheme="majorEastAsia"/>
          <w:snapToGrid w:val="0"/>
          <w:color w:val="000000" w:themeColor="text1"/>
          <w:spacing w:val="2"/>
          <w:kern w:val="0"/>
          <w:sz w:val="24"/>
        </w:rPr>
        <w:t>、“资格审查资料”、</w:t>
      </w:r>
      <w:r>
        <w:rPr>
          <w:rFonts w:hint="eastAsia" w:cs="宋体" w:asciiTheme="majorEastAsia" w:hAnsiTheme="majorEastAsia" w:eastAsiaTheme="majorEastAsia"/>
          <w:snapToGrid w:val="0"/>
          <w:color w:val="000000" w:themeColor="text1"/>
          <w:kern w:val="0"/>
          <w:sz w:val="24"/>
        </w:rPr>
        <w:t>“技术商务标”或“报价标”，同时还要写明采购人名称、项目名称、磋商人名称。</w:t>
      </w:r>
    </w:p>
    <w:p>
      <w:pPr>
        <w:shd w:val="clear" w:color="auto" w:fill="FFFFFF"/>
        <w:adjustRightInd w:val="0"/>
        <w:snapToGrid w:val="0"/>
        <w:spacing w:line="360" w:lineRule="auto"/>
        <w:ind w:firstLine="480" w:firstLineChars="200"/>
        <w:rPr>
          <w:rFonts w:cs="宋体" w:asciiTheme="majorEastAsia" w:hAnsiTheme="majorEastAsia" w:eastAsiaTheme="majorEastAsia"/>
          <w:snapToGrid w:val="0"/>
          <w:color w:val="000000" w:themeColor="text1"/>
          <w:kern w:val="0"/>
          <w:sz w:val="24"/>
        </w:rPr>
      </w:pPr>
      <w:r>
        <w:rPr>
          <w:rFonts w:hint="eastAsia" w:cs="宋体" w:asciiTheme="majorEastAsia" w:hAnsiTheme="majorEastAsia" w:eastAsiaTheme="majorEastAsia"/>
          <w:snapToGrid w:val="0"/>
          <w:color w:val="000000" w:themeColor="text1"/>
          <w:kern w:val="0"/>
          <w:sz w:val="24"/>
        </w:rPr>
        <w:t>（</w:t>
      </w:r>
      <w:r>
        <w:rPr>
          <w:rFonts w:cs="宋体" w:asciiTheme="majorEastAsia" w:hAnsiTheme="majorEastAsia" w:eastAsiaTheme="majorEastAsia"/>
          <w:snapToGrid w:val="0"/>
          <w:color w:val="000000" w:themeColor="text1"/>
          <w:kern w:val="0"/>
          <w:sz w:val="24"/>
        </w:rPr>
        <w:t>3</w:t>
      </w:r>
      <w:r>
        <w:rPr>
          <w:rFonts w:hint="eastAsia" w:cs="宋体" w:asciiTheme="majorEastAsia" w:hAnsiTheme="majorEastAsia" w:eastAsiaTheme="majorEastAsia"/>
          <w:snapToGrid w:val="0"/>
          <w:color w:val="000000" w:themeColor="text1"/>
          <w:kern w:val="0"/>
          <w:sz w:val="24"/>
        </w:rPr>
        <w:t>）磋商供应商可将磋商文件正副本统一密封在一个包内，磋商文件正副本也可分别密封；如正本和副本分别密封的，应在封袋上标明正、副本字样。</w:t>
      </w:r>
    </w:p>
    <w:p>
      <w:pPr>
        <w:shd w:val="clear" w:color="auto" w:fill="FFFFFF"/>
        <w:adjustRightInd w:val="0"/>
        <w:snapToGrid w:val="0"/>
        <w:spacing w:line="360" w:lineRule="auto"/>
        <w:ind w:firstLine="480" w:firstLineChars="200"/>
        <w:rPr>
          <w:rFonts w:cs="宋体" w:asciiTheme="majorEastAsia" w:hAnsiTheme="majorEastAsia" w:eastAsiaTheme="majorEastAsia"/>
          <w:snapToGrid w:val="0"/>
          <w:color w:val="000000" w:themeColor="text1"/>
          <w:kern w:val="0"/>
          <w:sz w:val="24"/>
        </w:rPr>
      </w:pPr>
      <w:r>
        <w:rPr>
          <w:rFonts w:hint="eastAsia" w:cs="宋体" w:asciiTheme="majorEastAsia" w:hAnsiTheme="majorEastAsia" w:eastAsiaTheme="majorEastAsia"/>
          <w:snapToGrid w:val="0"/>
          <w:color w:val="000000" w:themeColor="text1"/>
          <w:kern w:val="0"/>
          <w:sz w:val="24"/>
        </w:rPr>
        <w:t>（</w:t>
      </w:r>
      <w:r>
        <w:rPr>
          <w:rFonts w:cs="宋体" w:asciiTheme="majorEastAsia" w:hAnsiTheme="majorEastAsia" w:eastAsiaTheme="majorEastAsia"/>
          <w:snapToGrid w:val="0"/>
          <w:color w:val="000000" w:themeColor="text1"/>
          <w:kern w:val="0"/>
          <w:sz w:val="24"/>
        </w:rPr>
        <w:t>4</w:t>
      </w:r>
      <w:r>
        <w:rPr>
          <w:rFonts w:hint="eastAsia" w:cs="宋体" w:asciiTheme="majorEastAsia" w:hAnsiTheme="majorEastAsia" w:eastAsiaTheme="majorEastAsia"/>
          <w:snapToGrid w:val="0"/>
          <w:color w:val="000000" w:themeColor="text1"/>
          <w:kern w:val="0"/>
          <w:sz w:val="24"/>
        </w:rPr>
        <w:t>）所有磋商文件的密封袋上均应加盖磋商人公章。磋商供应商未按上述规定提交磋商文件，其磋商文件将被拒绝，并退还给磋商人。</w:t>
      </w:r>
    </w:p>
    <w:p>
      <w:pPr>
        <w:shd w:val="clear" w:color="auto" w:fill="FFFFFF"/>
        <w:adjustRightInd w:val="0"/>
        <w:snapToGrid w:val="0"/>
        <w:spacing w:line="360" w:lineRule="auto"/>
        <w:ind w:firstLine="480" w:firstLineChars="200"/>
        <w:rPr>
          <w:rFonts w:cs="宋体" w:asciiTheme="majorEastAsia" w:hAnsiTheme="majorEastAsia" w:eastAsiaTheme="majorEastAsia"/>
          <w:b/>
          <w:bCs/>
          <w:snapToGrid w:val="0"/>
          <w:color w:val="000000" w:themeColor="text1"/>
          <w:kern w:val="0"/>
          <w:sz w:val="24"/>
        </w:rPr>
      </w:pPr>
      <w:r>
        <w:rPr>
          <w:rFonts w:hint="eastAsia" w:cs="宋体" w:asciiTheme="majorEastAsia" w:hAnsiTheme="majorEastAsia" w:eastAsiaTheme="majorEastAsia"/>
          <w:snapToGrid w:val="0"/>
          <w:color w:val="000000" w:themeColor="text1"/>
          <w:kern w:val="0"/>
          <w:sz w:val="24"/>
        </w:rPr>
        <w:t>（</w:t>
      </w:r>
      <w:r>
        <w:rPr>
          <w:rFonts w:cs="宋体" w:asciiTheme="majorEastAsia" w:hAnsiTheme="majorEastAsia" w:eastAsiaTheme="majorEastAsia"/>
          <w:snapToGrid w:val="0"/>
          <w:color w:val="000000" w:themeColor="text1"/>
          <w:kern w:val="0"/>
          <w:sz w:val="24"/>
        </w:rPr>
        <w:t>5</w:t>
      </w:r>
      <w:r>
        <w:rPr>
          <w:rFonts w:hint="eastAsia" w:cs="宋体" w:asciiTheme="majorEastAsia" w:hAnsiTheme="majorEastAsia" w:eastAsiaTheme="majorEastAsia"/>
          <w:snapToGrid w:val="0"/>
          <w:color w:val="000000" w:themeColor="text1"/>
          <w:kern w:val="0"/>
          <w:sz w:val="24"/>
        </w:rPr>
        <w:t>）投标文件正、副本不一致时，以正本为准。</w:t>
      </w:r>
    </w:p>
    <w:p>
      <w:pPr>
        <w:snapToGrid w:val="0"/>
        <w:spacing w:line="360" w:lineRule="auto"/>
        <w:ind w:firstLine="472" w:firstLineChars="196"/>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七、投标文件的递交时间</w:t>
      </w:r>
    </w:p>
    <w:p>
      <w:pPr>
        <w:snapToGrid w:val="0"/>
        <w:spacing w:line="360" w:lineRule="auto"/>
        <w:ind w:firstLine="480" w:firstLineChars="200"/>
        <w:rPr>
          <w:rFonts w:asciiTheme="majorEastAsia" w:hAnsiTheme="majorEastAsia" w:eastAsiaTheme="majorEastAsia"/>
          <w:color w:val="000000" w:themeColor="text1"/>
          <w:sz w:val="24"/>
          <w:szCs w:val="24"/>
          <w:highlight w:val="green"/>
        </w:rPr>
      </w:pPr>
      <w:r>
        <w:rPr>
          <w:rFonts w:hint="eastAsia" w:cs="宋体" w:asciiTheme="majorEastAsia" w:hAnsiTheme="majorEastAsia" w:eastAsiaTheme="majorEastAsia"/>
          <w:bCs/>
          <w:color w:val="000000" w:themeColor="text1"/>
          <w:sz w:val="24"/>
          <w:szCs w:val="24"/>
        </w:rPr>
        <w:t>（1）磋商响应文件接收截止</w:t>
      </w:r>
      <w:r>
        <w:rPr>
          <w:rFonts w:hint="eastAsia" w:cs="宋体" w:asciiTheme="majorEastAsia" w:hAnsiTheme="majorEastAsia" w:eastAsiaTheme="majorEastAsia"/>
          <w:bCs/>
          <w:sz w:val="24"/>
          <w:szCs w:val="24"/>
        </w:rPr>
        <w:t>时间：</w:t>
      </w:r>
      <w:r>
        <w:rPr>
          <w:rFonts w:hint="eastAsia" w:cs="宋体" w:asciiTheme="majorEastAsia" w:hAnsiTheme="majorEastAsia" w:eastAsiaTheme="majorEastAsia"/>
          <w:b/>
          <w:bCs/>
          <w:sz w:val="24"/>
          <w:szCs w:val="24"/>
        </w:rPr>
        <w:t>2019年12月31日9时30分，</w:t>
      </w:r>
      <w:r>
        <w:rPr>
          <w:rFonts w:hint="eastAsia" w:asciiTheme="majorEastAsia" w:hAnsiTheme="majorEastAsia" w:eastAsiaTheme="majorEastAsia"/>
          <w:sz w:val="24"/>
          <w:szCs w:val="24"/>
        </w:rPr>
        <w:t>磋</w:t>
      </w:r>
      <w:r>
        <w:rPr>
          <w:rFonts w:hint="eastAsia" w:asciiTheme="majorEastAsia" w:hAnsiTheme="majorEastAsia" w:eastAsiaTheme="majorEastAsia"/>
          <w:color w:val="000000" w:themeColor="text1"/>
          <w:sz w:val="24"/>
          <w:szCs w:val="24"/>
        </w:rPr>
        <w:t>商供应商必须在规定的投标文件接收截止时间前送达招标人。招标人将拒绝接收在投标截止时间后递交的投标文件。</w:t>
      </w:r>
    </w:p>
    <w:p>
      <w:pPr>
        <w:snapToGrid w:val="0"/>
        <w:spacing w:line="360" w:lineRule="auto"/>
        <w:ind w:firstLine="472" w:firstLineChars="196"/>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八、投标费用</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磋商供应商承担参与投标可能发生的全部费用，招标人在任何情况下均无义务和责任承担这些费用。</w:t>
      </w:r>
    </w:p>
    <w:p>
      <w:pPr>
        <w:snapToGrid w:val="0"/>
        <w:spacing w:line="360" w:lineRule="auto"/>
        <w:ind w:firstLine="480" w:firstLineChars="200"/>
        <w:rPr>
          <w:rFonts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采购文件</w:t>
      </w:r>
      <w:r>
        <w:rPr>
          <w:rFonts w:hint="eastAsia" w:asciiTheme="majorEastAsia" w:hAnsiTheme="majorEastAsia" w:eastAsiaTheme="majorEastAsia"/>
          <w:color w:val="000000" w:themeColor="text1"/>
          <w:kern w:val="0"/>
          <w:sz w:val="24"/>
        </w:rPr>
        <w:t>资料费每套叁佰元（￥300.00），递交磋商文件时现场支付，无论是否中标，资料费概不退还。</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成交</w:t>
      </w:r>
      <w:r>
        <w:rPr>
          <w:rFonts w:hint="eastAsia" w:asciiTheme="majorEastAsia" w:hAnsiTheme="majorEastAsia" w:eastAsiaTheme="majorEastAsia"/>
          <w:color w:val="000000" w:themeColor="text1"/>
          <w:sz w:val="24"/>
        </w:rPr>
        <w:t>单位中标后向代理公司支付招标代理服务费，本项目招标代理服务费为贰仟陆佰元整</w:t>
      </w:r>
      <w:r>
        <w:rPr>
          <w:rFonts w:hint="eastAsia" w:asciiTheme="majorEastAsia" w:hAnsiTheme="majorEastAsia" w:eastAsiaTheme="majorEastAsia"/>
          <w:color w:val="000000" w:themeColor="text1"/>
          <w:kern w:val="0"/>
          <w:sz w:val="24"/>
        </w:rPr>
        <w:t>（￥2600.00）</w:t>
      </w:r>
      <w:r>
        <w:rPr>
          <w:rFonts w:hint="eastAsia" w:asciiTheme="majorEastAsia" w:hAnsiTheme="majorEastAsia" w:eastAsiaTheme="majorEastAsia"/>
          <w:color w:val="000000" w:themeColor="text1"/>
          <w:sz w:val="24"/>
        </w:rPr>
        <w:t>，该费用由磋商供应商综合考虑在投标报价中。</w:t>
      </w:r>
    </w:p>
    <w:p>
      <w:pPr>
        <w:pStyle w:val="2"/>
        <w:spacing w:after="0" w:line="360" w:lineRule="auto"/>
        <w:ind w:left="0" w:leftChars="0" w:firstLine="482"/>
        <w:rPr>
          <w:rFonts w:cs="宋体" w:asciiTheme="majorEastAsia" w:hAnsiTheme="majorEastAsia" w:eastAsiaTheme="majorEastAsia"/>
          <w:b/>
          <w:color w:val="000000" w:themeColor="text1"/>
          <w:sz w:val="24"/>
          <w:szCs w:val="24"/>
        </w:rPr>
      </w:pPr>
      <w:r>
        <w:rPr>
          <w:rFonts w:hint="eastAsia" w:cs="宋体" w:asciiTheme="majorEastAsia" w:hAnsiTheme="majorEastAsia" w:eastAsiaTheme="majorEastAsia"/>
          <w:b/>
          <w:color w:val="000000" w:themeColor="text1"/>
          <w:sz w:val="24"/>
          <w:szCs w:val="24"/>
        </w:rPr>
        <w:t>九、磋商保证金</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（1）磋商保证金数额：人民币</w:t>
      </w:r>
      <w:r>
        <w:rPr>
          <w:rFonts w:hint="eastAsia" w:cs="宋体" w:asciiTheme="majorEastAsia" w:hAnsiTheme="majorEastAsia" w:eastAsiaTheme="majorEastAsia"/>
          <w:color w:val="000000" w:themeColor="text1"/>
          <w:sz w:val="24"/>
          <w:szCs w:val="24"/>
          <w:u w:val="single"/>
        </w:rPr>
        <w:t xml:space="preserve">  肆仟圆整（￥4000.00）</w:t>
      </w:r>
    </w:p>
    <w:p>
      <w:pPr>
        <w:snapToGrid w:val="0"/>
        <w:spacing w:line="360" w:lineRule="auto"/>
        <w:ind w:firstLine="480" w:firstLineChars="200"/>
        <w:contextualSpacing/>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 xml:space="preserve">（2）磋商保证金以 </w:t>
      </w:r>
      <w:r>
        <w:rPr>
          <w:rFonts w:hint="eastAsia" w:cs="仿宋" w:asciiTheme="majorEastAsia" w:hAnsiTheme="majorEastAsia" w:eastAsiaTheme="majorEastAsia"/>
          <w:sz w:val="24"/>
          <w:szCs w:val="24"/>
          <w:u w:val="thick" w:color="FF0000"/>
        </w:rPr>
        <w:t>银行转账</w:t>
      </w:r>
      <w:r>
        <w:rPr>
          <w:rFonts w:hint="eastAsia" w:cs="仿宋" w:asciiTheme="majorEastAsia" w:hAnsiTheme="majorEastAsia" w:eastAsiaTheme="majorEastAsia"/>
          <w:b/>
          <w:sz w:val="24"/>
          <w:szCs w:val="24"/>
          <w:u w:val="thick" w:color="FF0000"/>
        </w:rPr>
        <w:t xml:space="preserve"> </w:t>
      </w:r>
      <w:r>
        <w:rPr>
          <w:rFonts w:hint="eastAsia" w:cs="仿宋" w:asciiTheme="majorEastAsia" w:hAnsiTheme="majorEastAsia" w:eastAsiaTheme="majorEastAsia"/>
          <w:sz w:val="24"/>
          <w:szCs w:val="24"/>
        </w:rPr>
        <w:t>的形式（其他形式概不接收）交纳至采购单位账户。投标保证金账户信息如下：</w:t>
      </w:r>
    </w:p>
    <w:p>
      <w:pPr>
        <w:snapToGrid w:val="0"/>
        <w:spacing w:line="360" w:lineRule="auto"/>
        <w:ind w:firstLine="1296" w:firstLineChars="540"/>
        <w:rPr>
          <w:rFonts w:cs="仿宋" w:asciiTheme="majorEastAsia" w:hAnsiTheme="majorEastAsia" w:eastAsiaTheme="majorEastAsia"/>
          <w:sz w:val="24"/>
          <w:szCs w:val="24"/>
          <w:u w:val="single"/>
        </w:rPr>
      </w:pPr>
      <w:r>
        <w:rPr>
          <w:rFonts w:hint="eastAsia" w:cs="仿宋" w:asciiTheme="majorEastAsia" w:hAnsiTheme="majorEastAsia" w:eastAsiaTheme="majorEastAsia"/>
          <w:sz w:val="24"/>
          <w:szCs w:val="24"/>
        </w:rPr>
        <w:t>收款单位：</w:t>
      </w:r>
      <w:r>
        <w:rPr>
          <w:rFonts w:hint="eastAsia" w:cs="仿宋" w:asciiTheme="majorEastAsia" w:hAnsiTheme="majorEastAsia" w:eastAsiaTheme="majorEastAsia"/>
          <w:sz w:val="24"/>
          <w:szCs w:val="24"/>
          <w:u w:val="single"/>
        </w:rPr>
        <w:t>南通农副产品物流有限公司</w:t>
      </w:r>
    </w:p>
    <w:p>
      <w:pPr>
        <w:snapToGrid w:val="0"/>
        <w:spacing w:line="360" w:lineRule="auto"/>
        <w:ind w:firstLine="1296" w:firstLineChars="540"/>
        <w:rPr>
          <w:rFonts w:cs="仿宋" w:asciiTheme="majorEastAsia" w:hAnsiTheme="majorEastAsia" w:eastAsiaTheme="majorEastAsia"/>
          <w:sz w:val="24"/>
          <w:szCs w:val="24"/>
          <w:u w:val="single"/>
        </w:rPr>
      </w:pPr>
      <w:r>
        <w:rPr>
          <w:rFonts w:hint="eastAsia" w:cs="仿宋" w:asciiTheme="majorEastAsia" w:hAnsiTheme="majorEastAsia" w:eastAsiaTheme="majorEastAsia"/>
          <w:sz w:val="24"/>
          <w:szCs w:val="24"/>
        </w:rPr>
        <w:t>银行账号：</w:t>
      </w:r>
      <w:r>
        <w:rPr>
          <w:rFonts w:hint="eastAsia" w:cs="仿宋" w:asciiTheme="majorEastAsia" w:hAnsiTheme="majorEastAsia" w:eastAsiaTheme="majorEastAsia"/>
          <w:sz w:val="24"/>
          <w:szCs w:val="24"/>
          <w:u w:val="single"/>
        </w:rPr>
        <w:t>工行南通文华支行</w:t>
      </w:r>
    </w:p>
    <w:p>
      <w:pPr>
        <w:snapToGrid w:val="0"/>
        <w:spacing w:line="360" w:lineRule="auto"/>
        <w:ind w:firstLine="1296" w:firstLineChars="54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开户银行：1111822609000067591</w:t>
      </w:r>
    </w:p>
    <w:p>
      <w:pPr>
        <w:pStyle w:val="2"/>
        <w:spacing w:after="0" w:line="360" w:lineRule="auto"/>
        <w:ind w:firstLine="482"/>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特别提醒：各投标人要充分考虑银行进账的时间，采购人将在投标文件截止时间查询供应商的保证金进账情况，未在投标文件截止时间之前转账成功的供应商的投标文件将不予接受。</w:t>
      </w:r>
    </w:p>
    <w:p>
      <w:pPr>
        <w:pStyle w:val="2"/>
        <w:spacing w:after="0" w:line="360" w:lineRule="auto"/>
        <w:ind w:firstLine="0" w:firstLineChars="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（3）未按上述要求提交磋商保证金的供应商，招标采购单位有权拒绝其磋商响应文件。</w:t>
      </w:r>
    </w:p>
    <w:p>
      <w:pPr>
        <w:snapToGrid w:val="0"/>
        <w:spacing w:line="360" w:lineRule="auto"/>
        <w:ind w:firstLine="494" w:firstLineChars="206"/>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（4）未成交供应商其磋商保证金，在定标后</w:t>
      </w:r>
      <w:r>
        <w:rPr>
          <w:rFonts w:hint="eastAsia" w:cs="仿宋" w:asciiTheme="majorEastAsia" w:hAnsiTheme="majorEastAsia" w:eastAsiaTheme="majorEastAsia"/>
          <w:sz w:val="24"/>
          <w:szCs w:val="24"/>
          <w:u w:val="single"/>
        </w:rPr>
        <w:t xml:space="preserve"> 7</w:t>
      </w:r>
      <w:r>
        <w:rPr>
          <w:rFonts w:hint="eastAsia" w:cs="仿宋" w:asciiTheme="majorEastAsia" w:hAnsiTheme="majorEastAsia" w:eastAsiaTheme="majorEastAsia"/>
          <w:sz w:val="24"/>
          <w:szCs w:val="24"/>
        </w:rPr>
        <w:t>个工作日内退还（无息）。成交供应商的磋商保证金自动转为履约保证金，不足部分再转账补足。</w:t>
      </w:r>
    </w:p>
    <w:p>
      <w:pPr>
        <w:snapToGrid w:val="0"/>
        <w:spacing w:line="360" w:lineRule="auto"/>
        <w:ind w:firstLine="494" w:firstLineChars="206"/>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（5）发生下列情况之一，磋商保证金将不予退还。</w:t>
      </w:r>
    </w:p>
    <w:p>
      <w:pPr>
        <w:snapToGrid w:val="0"/>
        <w:spacing w:line="360" w:lineRule="auto"/>
        <w:ind w:firstLine="324" w:firstLineChars="135"/>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 xml:space="preserve">（5.1）供应商在提交磋商响应文件截止时间后撤回磋商响应文件的； </w:t>
      </w:r>
    </w:p>
    <w:p>
      <w:pPr>
        <w:snapToGrid w:val="0"/>
        <w:spacing w:line="360" w:lineRule="auto"/>
        <w:ind w:firstLine="324" w:firstLineChars="135"/>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 xml:space="preserve">（5.2）供应商与采购人、其他供应商或者采购代理机构恶意串通的； </w:t>
      </w:r>
    </w:p>
    <w:p>
      <w:pPr>
        <w:snapToGrid w:val="0"/>
        <w:spacing w:line="360" w:lineRule="auto"/>
        <w:ind w:firstLine="324" w:firstLineChars="135"/>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 xml:space="preserve">（5.3）除因不可抗力或磋商文件认可的情形以外，中标人不与采购人签订合同的； </w:t>
      </w:r>
    </w:p>
    <w:p>
      <w:pPr>
        <w:snapToGrid w:val="0"/>
        <w:spacing w:line="360" w:lineRule="auto"/>
        <w:ind w:firstLine="324" w:firstLineChars="135"/>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（5.4）供应商在磋商过程中有违反有关法律法规的行为；</w:t>
      </w:r>
    </w:p>
    <w:p>
      <w:pPr>
        <w:pStyle w:val="2"/>
        <w:spacing w:after="0" w:line="360" w:lineRule="auto"/>
        <w:ind w:firstLine="0" w:firstLineChars="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（5.5）磋商文件规定的其他情形。</w:t>
      </w:r>
    </w:p>
    <w:p>
      <w:pPr>
        <w:spacing w:line="360" w:lineRule="auto"/>
        <w:ind w:firstLine="426" w:firstLineChars="177"/>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十、履约保证金</w:t>
      </w:r>
    </w:p>
    <w:p>
      <w:pPr>
        <w:spacing w:line="360" w:lineRule="auto"/>
        <w:ind w:firstLine="424" w:firstLineChars="177"/>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（1）本项目成交后履约保证金为中标合同价的</w:t>
      </w:r>
      <w:r>
        <w:rPr>
          <w:rFonts w:hint="eastAsia" w:cs="仿宋" w:asciiTheme="majorEastAsia" w:hAnsiTheme="majorEastAsia" w:eastAsiaTheme="majorEastAsia"/>
          <w:sz w:val="24"/>
          <w:szCs w:val="24"/>
          <w:u w:val="single"/>
        </w:rPr>
        <w:t>5%</w:t>
      </w:r>
      <w:r>
        <w:rPr>
          <w:rFonts w:hint="eastAsia" w:cs="仿宋" w:asciiTheme="majorEastAsia" w:hAnsiTheme="majorEastAsia" w:eastAsiaTheme="majorEastAsia"/>
          <w:sz w:val="24"/>
          <w:szCs w:val="24"/>
        </w:rPr>
        <w:t>，成交供应商的磋商保证金自动转为履约保证金，不足部分再转账补足。</w:t>
      </w:r>
    </w:p>
    <w:p>
      <w:pPr>
        <w:snapToGrid w:val="0"/>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（2）在成交通知书发出签收后</w:t>
      </w:r>
      <w:r>
        <w:rPr>
          <w:rFonts w:hint="eastAsia" w:cs="仿宋" w:asciiTheme="majorEastAsia" w:hAnsiTheme="majorEastAsia" w:eastAsiaTheme="majorEastAsia"/>
          <w:sz w:val="24"/>
          <w:szCs w:val="24"/>
          <w:u w:val="single"/>
        </w:rPr>
        <w:t xml:space="preserve"> 7</w:t>
      </w:r>
      <w:r>
        <w:rPr>
          <w:rFonts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个日历天内，成交人凭成交通知书和履约保证金已经汇至采购人账上的凭证，与采购人签订合同，超期或未有协商，则视为自动放弃中标资格。</w:t>
      </w:r>
    </w:p>
    <w:p>
      <w:pPr>
        <w:snapToGrid w:val="0"/>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（3）成交人按要求保质保量的完成该项目且通过最终验收后，一次性无息退还履约保证金。</w:t>
      </w:r>
    </w:p>
    <w:p>
      <w:pPr>
        <w:snapToGrid w:val="0"/>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（4）因成交人原因，签订合同后出现不按合同履行的情况，采购人有权将履约保证金作为违约金，全额不予退还，同时采购人亦有权终止合同，成交人还须依法承担相应的赔偿责任。</w:t>
      </w:r>
    </w:p>
    <w:p>
      <w:pPr>
        <w:snapToGrid w:val="0"/>
        <w:spacing w:line="360" w:lineRule="auto"/>
        <w:ind w:firstLine="482" w:firstLineChars="200"/>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十一、项目涉及到的现场勘察</w:t>
      </w:r>
    </w:p>
    <w:p>
      <w:pPr>
        <w:snapToGrid w:val="0"/>
        <w:spacing w:line="360" w:lineRule="auto"/>
        <w:ind w:firstLine="480" w:firstLineChars="200"/>
        <w:rPr>
          <w:rFonts w:cs="仿宋" w:asciiTheme="majorEastAsia" w:hAnsiTheme="majorEastAsia" w:eastAsiaTheme="majorEastAsia"/>
          <w:sz w:val="24"/>
          <w:szCs w:val="24"/>
        </w:rPr>
      </w:pPr>
      <w:r>
        <w:rPr>
          <w:rFonts w:cs="仿宋" w:asciiTheme="majorEastAsia" w:hAnsiTheme="majorEastAsia" w:eastAsiaTheme="majorEastAsia"/>
          <w:sz w:val="24"/>
          <w:szCs w:val="24"/>
        </w:rPr>
        <w:t>1</w:t>
      </w:r>
      <w:r>
        <w:rPr>
          <w:rFonts w:hint="eastAsia" w:cs="仿宋" w:asciiTheme="majorEastAsia" w:hAnsiTheme="majorEastAsia" w:eastAsiaTheme="majorEastAsia"/>
          <w:sz w:val="24"/>
          <w:szCs w:val="24"/>
        </w:rPr>
        <w:t>、磋商文件所提供的项目相关数据仅供参考，根据自身需要，供应商可在磋商响应文件递交日前自行对有关现场和周围环境进行勘察，以获取编制磋商响应文件所需的信息。勘察现场如有费用产生，由供应商自行承担。</w:t>
      </w:r>
    </w:p>
    <w:p>
      <w:pPr>
        <w:snapToGrid w:val="0"/>
        <w:spacing w:line="360" w:lineRule="auto"/>
        <w:ind w:firstLine="480" w:firstLineChars="200"/>
        <w:rPr>
          <w:rFonts w:cs="仿宋" w:asciiTheme="majorEastAsia" w:hAnsiTheme="majorEastAsia" w:eastAsiaTheme="majorEastAsia"/>
          <w:sz w:val="24"/>
          <w:szCs w:val="24"/>
        </w:rPr>
      </w:pPr>
      <w:r>
        <w:rPr>
          <w:rFonts w:cs="仿宋" w:asciiTheme="majorEastAsia" w:hAnsiTheme="majorEastAsia" w:eastAsiaTheme="majorEastAsia"/>
          <w:sz w:val="24"/>
          <w:szCs w:val="24"/>
        </w:rPr>
        <w:t>2</w:t>
      </w:r>
      <w:r>
        <w:rPr>
          <w:rFonts w:hint="eastAsia" w:cs="仿宋" w:asciiTheme="majorEastAsia" w:hAnsiTheme="majorEastAsia" w:eastAsiaTheme="majorEastAsia"/>
          <w:sz w:val="24"/>
          <w:szCs w:val="24"/>
        </w:rPr>
        <w:t>、采购人向供应商提供有关现场的资料和数据，是采购人现有的并认为能使供应商可利用的资料。采购人对供应商由此而做出的推论、理解和结论概不负责。</w:t>
      </w:r>
    </w:p>
    <w:p>
      <w:pPr>
        <w:snapToGrid w:val="0"/>
        <w:spacing w:line="360" w:lineRule="auto"/>
        <w:ind w:firstLine="480" w:firstLineChars="200"/>
        <w:rPr>
          <w:rFonts w:cs="仿宋" w:asciiTheme="majorEastAsia" w:hAnsiTheme="majorEastAsia" w:eastAsiaTheme="majorEastAsia"/>
          <w:sz w:val="24"/>
          <w:szCs w:val="24"/>
        </w:rPr>
      </w:pPr>
      <w:r>
        <w:rPr>
          <w:rFonts w:cs="仿宋" w:asciiTheme="majorEastAsia" w:hAnsiTheme="majorEastAsia" w:eastAsiaTheme="majorEastAsia"/>
          <w:sz w:val="24"/>
          <w:szCs w:val="24"/>
        </w:rPr>
        <w:t>3</w:t>
      </w:r>
      <w:r>
        <w:rPr>
          <w:rFonts w:hint="eastAsia" w:cs="仿宋" w:asciiTheme="majorEastAsia" w:hAnsiTheme="majorEastAsia" w:eastAsiaTheme="majorEastAsia"/>
          <w:sz w:val="24"/>
          <w:szCs w:val="24"/>
        </w:rPr>
        <w:t>、潜在供应商为响应项目而勘察现场，但不得因此使采购人承担有关的责任和蒙受损失。供应商须承担勘察现场而带来的一切责任及风险。</w:t>
      </w:r>
    </w:p>
    <w:p>
      <w:pPr>
        <w:snapToGrid w:val="0"/>
        <w:spacing w:line="360" w:lineRule="auto"/>
        <w:ind w:firstLine="480" w:firstLineChars="200"/>
        <w:rPr>
          <w:rFonts w:cs="仿宋" w:asciiTheme="majorEastAsia" w:hAnsiTheme="majorEastAsia" w:eastAsiaTheme="majorEastAsia"/>
          <w:sz w:val="24"/>
          <w:szCs w:val="24"/>
        </w:rPr>
      </w:pPr>
      <w:r>
        <w:rPr>
          <w:rFonts w:cs="仿宋" w:asciiTheme="majorEastAsia" w:hAnsiTheme="majorEastAsia" w:eastAsiaTheme="majorEastAsia"/>
          <w:sz w:val="24"/>
          <w:szCs w:val="24"/>
        </w:rPr>
        <w:t>4</w:t>
      </w:r>
      <w:r>
        <w:rPr>
          <w:rFonts w:hint="eastAsia" w:cs="仿宋" w:asciiTheme="majorEastAsia" w:hAnsiTheme="majorEastAsia" w:eastAsiaTheme="majorEastAsia"/>
          <w:sz w:val="24"/>
          <w:szCs w:val="24"/>
        </w:rPr>
        <w:t>、供应商应在现场勘察时，熟悉现场及周围交通道路等情况，以获得一切可能影响磋商响应内容的直接资料。供应商成交后，不得以不完全了解现场情况为理由而向采购人提出任何索赔的要求，对此采购人不承担任何责任，并且将不作任何答复。</w:t>
      </w:r>
    </w:p>
    <w:p>
      <w:pPr>
        <w:snapToGrid w:val="0"/>
        <w:spacing w:line="360" w:lineRule="auto"/>
        <w:ind w:firstLine="472" w:firstLineChars="196"/>
        <w:rPr>
          <w:rFonts w:cs="仿宋" w:asciiTheme="majorEastAsia" w:hAnsiTheme="majorEastAsia" w:eastAsiaTheme="majorEastAsia"/>
          <w:b/>
          <w:sz w:val="24"/>
          <w:szCs w:val="24"/>
        </w:rPr>
      </w:pPr>
      <w:r>
        <w:rPr>
          <w:rFonts w:cs="仿宋" w:asciiTheme="majorEastAsia" w:hAnsiTheme="majorEastAsia" w:eastAsiaTheme="majorEastAsia"/>
          <w:b/>
          <w:sz w:val="24"/>
          <w:szCs w:val="24"/>
        </w:rPr>
        <w:t>5</w:t>
      </w:r>
      <w:r>
        <w:rPr>
          <w:rFonts w:hint="eastAsia" w:cs="仿宋" w:asciiTheme="majorEastAsia" w:hAnsiTheme="majorEastAsia" w:eastAsiaTheme="majorEastAsia"/>
          <w:b/>
          <w:sz w:val="24"/>
          <w:szCs w:val="24"/>
        </w:rPr>
        <w:t>、现场勘察联系人：包先生    联系方式：18061818528</w:t>
      </w:r>
    </w:p>
    <w:p>
      <w:pPr>
        <w:snapToGrid w:val="0"/>
        <w:spacing w:line="360" w:lineRule="auto"/>
        <w:ind w:firstLine="482" w:firstLineChars="200"/>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勘查时间：从发布之日至投标前1日的9：00—15：00（含项目需求答疑）。</w:t>
      </w: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5"/>
        <w:numPr>
          <w:ilvl w:val="0"/>
          <w:numId w:val="4"/>
        </w:numPr>
        <w:spacing w:before="240" w:after="240" w:line="360" w:lineRule="auto"/>
        <w:ind w:firstLine="2650" w:firstLineChars="600"/>
        <w:rPr>
          <w:rFonts w:asciiTheme="majorEastAsia" w:hAnsiTheme="majorEastAsia" w:eastAsiaTheme="majorEastAsia"/>
          <w:color w:val="000000" w:themeColor="text1"/>
        </w:rPr>
      </w:pPr>
      <w:bookmarkStart w:id="2" w:name="_Toc517717027"/>
      <w:r>
        <w:rPr>
          <w:rFonts w:hint="eastAsia" w:asciiTheme="majorEastAsia" w:hAnsiTheme="majorEastAsia" w:eastAsiaTheme="majorEastAsia"/>
          <w:color w:val="000000" w:themeColor="text1"/>
        </w:rPr>
        <w:t>采购需求</w:t>
      </w:r>
      <w:bookmarkEnd w:id="2"/>
    </w:p>
    <w:p>
      <w:pPr>
        <w:spacing w:line="360" w:lineRule="auto"/>
        <w:ind w:firstLine="241" w:firstLineChars="100"/>
        <w:rPr>
          <w:rFonts w:asciiTheme="majorEastAsia" w:hAnsiTheme="majorEastAsia" w:eastAsiaTheme="majorEastAsia"/>
          <w:b/>
          <w:sz w:val="24"/>
          <w:szCs w:val="24"/>
        </w:rPr>
      </w:pPr>
      <w:bookmarkStart w:id="3" w:name="_Toc517717028"/>
      <w:r>
        <w:rPr>
          <w:rFonts w:hint="eastAsia" w:asciiTheme="majorEastAsia" w:hAnsiTheme="majorEastAsia" w:eastAsiaTheme="majorEastAsia"/>
          <w:b/>
          <w:sz w:val="24"/>
          <w:szCs w:val="24"/>
        </w:rPr>
        <w:t>一、工程概况</w:t>
      </w:r>
    </w:p>
    <w:p>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工程名称：南通农副产品物流中心电梯日常维护保养服务</w:t>
      </w:r>
    </w:p>
    <w:p>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工程地点：南通市崇川区崇川路777号</w:t>
      </w:r>
    </w:p>
    <w:p>
      <w:pPr>
        <w:spacing w:line="360" w:lineRule="auto"/>
        <w:ind w:firstLine="241" w:firstLineChars="100"/>
        <w:rPr>
          <w:rFonts w:asciiTheme="majorEastAsia" w:hAnsiTheme="majorEastAsia" w:eastAsiaTheme="majorEastAsia"/>
          <w:b/>
          <w:sz w:val="24"/>
          <w:szCs w:val="24"/>
        </w:rPr>
      </w:pPr>
      <w:r>
        <w:rPr>
          <w:rFonts w:hint="eastAsia" w:asciiTheme="majorEastAsia" w:hAnsiTheme="majorEastAsia" w:eastAsiaTheme="majorEastAsia"/>
          <w:b/>
          <w:sz w:val="24"/>
          <w:szCs w:val="24"/>
        </w:rPr>
        <w:t>二、招标范围及内容</w:t>
      </w:r>
    </w:p>
    <w:p>
      <w:pPr>
        <w:pStyle w:val="33"/>
        <w:spacing w:line="360" w:lineRule="auto"/>
        <w:ind w:left="420"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南通农副产品物流有限公司电梯日常维护保养，需维保电梯53台，具体维保清单如下：</w:t>
      </w:r>
    </w:p>
    <w:tbl>
      <w:tblPr>
        <w:tblStyle w:val="20"/>
        <w:tblW w:w="96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1364"/>
        <w:gridCol w:w="778"/>
        <w:gridCol w:w="1009"/>
        <w:gridCol w:w="1813"/>
        <w:gridCol w:w="1134"/>
        <w:gridCol w:w="850"/>
        <w:gridCol w:w="21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136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场地</w:t>
            </w:r>
          </w:p>
        </w:tc>
        <w:tc>
          <w:tcPr>
            <w:tcW w:w="778"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电梯类型</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电梯 品牌</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电梯型号</w:t>
            </w:r>
          </w:p>
        </w:tc>
        <w:tc>
          <w:tcPr>
            <w:tcW w:w="1134" w:type="dxa"/>
            <w:vAlign w:val="center"/>
          </w:tcPr>
          <w:p>
            <w:pPr>
              <w:pStyle w:val="33"/>
              <w:spacing w:line="360" w:lineRule="auto"/>
              <w:ind w:left="240" w:hanging="240" w:hangingChars="10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载重量</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数量</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维保期限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136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蔬菜大厅</w:t>
            </w:r>
          </w:p>
        </w:tc>
        <w:tc>
          <w:tcPr>
            <w:tcW w:w="778"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迅达</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S80L5000/0.5</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3000kg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1364"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水果大厅</w:t>
            </w:r>
          </w:p>
        </w:tc>
        <w:tc>
          <w:tcPr>
            <w:tcW w:w="778"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迅达</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S80L5000/0.5</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3000kg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1364"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水产大厅</w:t>
            </w:r>
          </w:p>
        </w:tc>
        <w:tc>
          <w:tcPr>
            <w:tcW w:w="778"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迅达</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S80L5000/0.5</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5000kg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Merge w:val="restart"/>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1364"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干货大厅</w:t>
            </w:r>
          </w:p>
        </w:tc>
        <w:tc>
          <w:tcPr>
            <w:tcW w:w="778"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迅达</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S80L5000/0.5</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5000kg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Merge w:val="continue"/>
            <w:vAlign w:val="center"/>
          </w:tcPr>
          <w:p>
            <w:pPr>
              <w:pStyle w:val="33"/>
              <w:spacing w:line="360" w:lineRule="auto"/>
              <w:ind w:firstLine="0" w:firstLineChars="0"/>
              <w:jc w:val="center"/>
              <w:rPr>
                <w:rFonts w:asciiTheme="majorEastAsia" w:hAnsiTheme="majorEastAsia" w:eastAsiaTheme="majorEastAsia"/>
                <w:sz w:val="24"/>
                <w:szCs w:val="24"/>
              </w:rPr>
            </w:pPr>
          </w:p>
        </w:tc>
        <w:tc>
          <w:tcPr>
            <w:tcW w:w="1364"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干货大厅</w:t>
            </w:r>
          </w:p>
        </w:tc>
        <w:tc>
          <w:tcPr>
            <w:tcW w:w="778"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迅达</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S80L5000/0.5</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3000kg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w:t>
            </w:r>
          </w:p>
        </w:tc>
        <w:tc>
          <w:tcPr>
            <w:tcW w:w="1364"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粮油大厅</w:t>
            </w:r>
          </w:p>
        </w:tc>
        <w:tc>
          <w:tcPr>
            <w:tcW w:w="778" w:type="dxa"/>
            <w:vAlign w:val="center"/>
          </w:tcPr>
          <w:p>
            <w:pPr>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三菱</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HOPE-IIG</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5000kg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136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展销楼</w:t>
            </w:r>
          </w:p>
        </w:tc>
        <w:tc>
          <w:tcPr>
            <w:tcW w:w="778"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客梯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奥的斯</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GeN2Comfort</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1275kg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7</w:t>
            </w:r>
          </w:p>
        </w:tc>
        <w:tc>
          <w:tcPr>
            <w:tcW w:w="136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商务楼</w:t>
            </w:r>
          </w:p>
        </w:tc>
        <w:tc>
          <w:tcPr>
            <w:tcW w:w="778"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客梯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奥的斯</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GeN2Comfort</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1275kg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8</w:t>
            </w:r>
          </w:p>
        </w:tc>
        <w:tc>
          <w:tcPr>
            <w:tcW w:w="136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粮油大厅</w:t>
            </w:r>
          </w:p>
        </w:tc>
        <w:tc>
          <w:tcPr>
            <w:tcW w:w="778"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扶梯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奥的斯</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otisLinK</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5.5m</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8台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9</w:t>
            </w:r>
          </w:p>
        </w:tc>
        <w:tc>
          <w:tcPr>
            <w:tcW w:w="136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1号冷库</w:t>
            </w:r>
          </w:p>
        </w:tc>
        <w:tc>
          <w:tcPr>
            <w:tcW w:w="778"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三菱</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HOPE-IIG</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5000kg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8台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10</w:t>
            </w:r>
          </w:p>
        </w:tc>
        <w:tc>
          <w:tcPr>
            <w:tcW w:w="136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2号冷库</w:t>
            </w:r>
          </w:p>
        </w:tc>
        <w:tc>
          <w:tcPr>
            <w:tcW w:w="778"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三菱</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HOPE-IIG</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5000kg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8台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2020.3—2021.1.15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 w:hRule="atLeast"/>
        </w:trPr>
        <w:tc>
          <w:tcPr>
            <w:tcW w:w="53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11</w:t>
            </w:r>
          </w:p>
        </w:tc>
        <w:tc>
          <w:tcPr>
            <w:tcW w:w="136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冻品一</w:t>
            </w:r>
          </w:p>
        </w:tc>
        <w:tc>
          <w:tcPr>
            <w:tcW w:w="778"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货梯</w:t>
            </w:r>
          </w:p>
        </w:tc>
        <w:tc>
          <w:tcPr>
            <w:tcW w:w="1009"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日立</w:t>
            </w:r>
          </w:p>
        </w:tc>
        <w:tc>
          <w:tcPr>
            <w:tcW w:w="1813"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LE-2000-2S30</w:t>
            </w:r>
          </w:p>
        </w:tc>
        <w:tc>
          <w:tcPr>
            <w:tcW w:w="1134"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2000kg</w:t>
            </w:r>
          </w:p>
        </w:tc>
        <w:tc>
          <w:tcPr>
            <w:tcW w:w="850"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1台</w:t>
            </w:r>
          </w:p>
        </w:tc>
        <w:tc>
          <w:tcPr>
            <w:tcW w:w="2161" w:type="dxa"/>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2020.1.16—2021.1.15</w:t>
            </w:r>
          </w:p>
        </w:tc>
      </w:tr>
    </w:tbl>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注：扶梯高度5.5米</w:t>
      </w:r>
    </w:p>
    <w:p>
      <w:pPr>
        <w:spacing w:line="360" w:lineRule="auto"/>
        <w:ind w:firstLine="354" w:firstLineChars="147"/>
        <w:rPr>
          <w:rFonts w:asciiTheme="majorEastAsia" w:hAnsiTheme="majorEastAsia" w:eastAsiaTheme="majorEastAsia"/>
          <w:b/>
          <w:sz w:val="24"/>
          <w:szCs w:val="24"/>
        </w:rPr>
      </w:pPr>
      <w:r>
        <w:rPr>
          <w:rFonts w:hint="eastAsia" w:asciiTheme="majorEastAsia" w:hAnsiTheme="majorEastAsia" w:eastAsiaTheme="majorEastAsia"/>
          <w:b/>
          <w:sz w:val="24"/>
          <w:szCs w:val="24"/>
        </w:rPr>
        <w:t>三、维保内容</w:t>
      </w:r>
    </w:p>
    <w:p>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（1）日常维修保养、检修和紧急救援服务。驻场人员不少于2人。</w:t>
      </w:r>
    </w:p>
    <w:p>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（2）日常维保的项目：按《电梯维护保养规则（TSG TSGT5002-2017）》中要求完成半月、季度、半年、年度保养项目，向使用单位出具年度自行检查记录或报告，并积极配合政府相关部门的年度检验、限速器及载重等有关项目的试验。如年检不合格维保单位需承担相关的复检费用。</w:t>
      </w:r>
    </w:p>
    <w:p>
      <w:pPr>
        <w:pStyle w:val="33"/>
        <w:numPr>
          <w:ilvl w:val="0"/>
          <w:numId w:val="5"/>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b/>
          <w:sz w:val="24"/>
          <w:szCs w:val="24"/>
        </w:rPr>
        <w:t>维保方式</w:t>
      </w:r>
      <w:r>
        <w:rPr>
          <w:rFonts w:hint="eastAsia" w:asciiTheme="majorEastAsia" w:hAnsiTheme="majorEastAsia" w:eastAsiaTheme="majorEastAsia"/>
          <w:sz w:val="24"/>
          <w:szCs w:val="24"/>
        </w:rPr>
        <w:t>：</w:t>
      </w:r>
      <w:r>
        <w:rPr>
          <w:rFonts w:hint="eastAsia" w:asciiTheme="majorEastAsia" w:hAnsiTheme="majorEastAsia" w:eastAsiaTheme="majorEastAsia"/>
          <w:b/>
          <w:sz w:val="24"/>
          <w:szCs w:val="24"/>
        </w:rPr>
        <w:t>半包（承担200元以下的电梯配件的更换、维修）。</w:t>
      </w:r>
    </w:p>
    <w:p>
      <w:pPr>
        <w:pStyle w:val="33"/>
        <w:numPr>
          <w:ilvl w:val="0"/>
          <w:numId w:val="5"/>
        </w:numPr>
        <w:spacing w:line="360" w:lineRule="auto"/>
        <w:ind w:firstLineChars="0"/>
        <w:rPr>
          <w:rFonts w:asciiTheme="majorEastAsia" w:hAnsiTheme="majorEastAsia" w:eastAsiaTheme="majorEastAsia"/>
          <w:b/>
          <w:sz w:val="24"/>
          <w:szCs w:val="24"/>
        </w:rPr>
      </w:pPr>
      <w:r>
        <w:rPr>
          <w:rFonts w:hint="eastAsia" w:asciiTheme="majorEastAsia" w:hAnsiTheme="majorEastAsia" w:eastAsiaTheme="majorEastAsia"/>
          <w:b/>
          <w:sz w:val="24"/>
          <w:szCs w:val="24"/>
        </w:rPr>
        <w:t>限价说明：</w:t>
      </w:r>
    </w:p>
    <w:p>
      <w:pPr>
        <w:pStyle w:val="33"/>
        <w:spacing w:line="360" w:lineRule="auto"/>
        <w:ind w:left="420" w:firstLine="482"/>
        <w:rPr>
          <w:rFonts w:asciiTheme="majorEastAsia" w:hAnsiTheme="majorEastAsia" w:eastAsiaTheme="majorEastAsia"/>
          <w:sz w:val="24"/>
          <w:szCs w:val="24"/>
        </w:rPr>
      </w:pPr>
      <w:r>
        <w:rPr>
          <w:rFonts w:hint="eastAsia" w:asciiTheme="majorEastAsia" w:hAnsiTheme="majorEastAsia" w:eastAsiaTheme="majorEastAsia"/>
          <w:b/>
          <w:sz w:val="24"/>
          <w:szCs w:val="24"/>
        </w:rPr>
        <w:t>需维保的电梯为53台，控制价为23.85万元，</w:t>
      </w:r>
      <w:r>
        <w:rPr>
          <w:rFonts w:hint="eastAsia" w:asciiTheme="majorEastAsia" w:hAnsiTheme="majorEastAsia" w:eastAsiaTheme="majorEastAsia"/>
          <w:sz w:val="24"/>
          <w:szCs w:val="24"/>
        </w:rPr>
        <w:t>参加竞争性磋商的供应商（以下简称商供应商）的报价一旦作为中标价为采购人接受，双方将据此签订本项目范围内的维护保养合同。</w:t>
      </w:r>
    </w:p>
    <w:p>
      <w:pPr>
        <w:pStyle w:val="33"/>
        <w:numPr>
          <w:ilvl w:val="0"/>
          <w:numId w:val="5"/>
        </w:numPr>
        <w:spacing w:line="360" w:lineRule="auto"/>
        <w:ind w:firstLineChars="0"/>
        <w:rPr>
          <w:rFonts w:asciiTheme="majorEastAsia" w:hAnsiTheme="majorEastAsia" w:eastAsiaTheme="majorEastAsia"/>
          <w:b/>
          <w:sz w:val="24"/>
          <w:szCs w:val="24"/>
        </w:rPr>
      </w:pPr>
      <w:r>
        <w:rPr>
          <w:rFonts w:hint="eastAsia" w:asciiTheme="majorEastAsia" w:hAnsiTheme="majorEastAsia" w:eastAsiaTheme="majorEastAsia"/>
          <w:b/>
          <w:sz w:val="24"/>
          <w:szCs w:val="24"/>
        </w:rPr>
        <w:t>合同签订：</w:t>
      </w:r>
    </w:p>
    <w:p>
      <w:pPr>
        <w:pStyle w:val="2"/>
        <w:spacing w:line="360" w:lineRule="auto"/>
        <w:ind w:firstLine="480"/>
      </w:pPr>
      <w:r>
        <w:rPr>
          <w:rFonts w:hint="eastAsia" w:asciiTheme="majorEastAsia" w:hAnsiTheme="majorEastAsia" w:eastAsiaTheme="majorEastAsia"/>
          <w:color w:val="333333"/>
          <w:sz w:val="24"/>
        </w:rPr>
        <w:t>本次维保期限为1年</w:t>
      </w:r>
      <w:r>
        <w:rPr>
          <w:rFonts w:cs="宋体" w:asciiTheme="majorEastAsia" w:hAnsiTheme="majorEastAsia" w:eastAsiaTheme="majorEastAsia"/>
          <w:color w:val="000000" w:themeColor="text1"/>
          <w:sz w:val="24"/>
          <w:szCs w:val="24"/>
        </w:rPr>
        <w:t>（</w:t>
      </w:r>
      <w:r>
        <w:rPr>
          <w:rFonts w:hint="eastAsia" w:asciiTheme="majorEastAsia" w:hAnsiTheme="majorEastAsia" w:eastAsiaTheme="majorEastAsia"/>
          <w:sz w:val="24"/>
          <w:szCs w:val="24"/>
        </w:rPr>
        <w:t>2020年1月16日—2021年1月15日</w:t>
      </w:r>
      <w:r>
        <w:rPr>
          <w:rFonts w:hint="eastAsia" w:cs="宋体" w:asciiTheme="majorEastAsia" w:hAnsiTheme="majorEastAsia" w:eastAsiaTheme="majorEastAsia"/>
          <w:color w:val="000000" w:themeColor="text1"/>
          <w:sz w:val="24"/>
          <w:szCs w:val="24"/>
        </w:rPr>
        <w:t>，具体维保时间段详见项目需求</w:t>
      </w:r>
      <w:r>
        <w:rPr>
          <w:rFonts w:cs="宋体" w:asciiTheme="majorEastAsia" w:hAnsiTheme="majorEastAsia" w:eastAsiaTheme="majorEastAsia"/>
          <w:color w:val="000000" w:themeColor="text1"/>
          <w:sz w:val="24"/>
          <w:szCs w:val="24"/>
        </w:rPr>
        <w:t>），</w:t>
      </w:r>
      <w:r>
        <w:rPr>
          <w:rFonts w:hint="eastAsia" w:cs="宋体" w:asciiTheme="majorEastAsia" w:hAnsiTheme="majorEastAsia" w:eastAsiaTheme="majorEastAsia"/>
          <w:color w:val="000000" w:themeColor="text1"/>
          <w:sz w:val="24"/>
          <w:szCs w:val="24"/>
        </w:rPr>
        <w:t>自合同签订起生效。成交供应商如在合同期内不能按考核细</w:t>
      </w:r>
      <w:r>
        <w:rPr>
          <w:rFonts w:hint="eastAsia" w:asciiTheme="majorEastAsia" w:hAnsiTheme="majorEastAsia" w:eastAsiaTheme="majorEastAsia"/>
          <w:color w:val="333333"/>
          <w:sz w:val="24"/>
        </w:rPr>
        <w:t>则（即成交供应商投标时的各项服务方案及承诺）履行合同，则采购人有权立即终止合同，另行招标。</w:t>
      </w:r>
    </w:p>
    <w:p>
      <w:pPr>
        <w:pStyle w:val="33"/>
        <w:numPr>
          <w:ilvl w:val="0"/>
          <w:numId w:val="5"/>
        </w:numPr>
        <w:spacing w:line="360" w:lineRule="auto"/>
        <w:ind w:firstLineChars="0"/>
        <w:rPr>
          <w:rFonts w:asciiTheme="majorEastAsia" w:hAnsiTheme="majorEastAsia" w:eastAsiaTheme="majorEastAsia"/>
          <w:b/>
          <w:sz w:val="24"/>
          <w:szCs w:val="24"/>
        </w:rPr>
      </w:pPr>
      <w:r>
        <w:rPr>
          <w:rFonts w:hint="eastAsia" w:asciiTheme="majorEastAsia" w:hAnsiTheme="majorEastAsia" w:eastAsiaTheme="majorEastAsia"/>
          <w:b/>
          <w:sz w:val="24"/>
          <w:szCs w:val="24"/>
        </w:rPr>
        <w:t>付款方式：</w:t>
      </w:r>
    </w:p>
    <w:p>
      <w:pPr>
        <w:pStyle w:val="33"/>
        <w:spacing w:line="360" w:lineRule="auto"/>
        <w:ind w:left="420" w:firstLine="480"/>
        <w:rPr>
          <w:rFonts w:asciiTheme="majorEastAsia" w:hAnsiTheme="majorEastAsia" w:eastAsiaTheme="majorEastAsia"/>
          <w:sz w:val="24"/>
          <w:szCs w:val="24"/>
        </w:rPr>
      </w:pPr>
      <w:r>
        <w:rPr>
          <w:rFonts w:hint="eastAsia" w:asciiTheme="majorEastAsia" w:hAnsiTheme="majorEastAsia" w:eastAsiaTheme="majorEastAsia"/>
          <w:color w:val="333333"/>
          <w:sz w:val="24"/>
        </w:rPr>
        <w:t>每季度结算一次。每个结算期满后10日内由中标人提供等额服务费增值税发票、并经采购人审核后付款。</w:t>
      </w:r>
    </w:p>
    <w:p>
      <w:pPr>
        <w:rPr>
          <w:rFonts w:asciiTheme="majorEastAsia" w:hAnsiTheme="majorEastAsia" w:eastAsiaTheme="majorEastAsia"/>
          <w:color w:val="000000" w:themeColor="text1"/>
          <w:sz w:val="24"/>
          <w:szCs w:val="24"/>
        </w:rPr>
      </w:pPr>
    </w:p>
    <w:p>
      <w:pPr>
        <w:rPr>
          <w:rFonts w:asciiTheme="majorEastAsia" w:hAnsiTheme="majorEastAsia" w:eastAsiaTheme="majorEastAsia"/>
          <w:color w:val="000000" w:themeColor="text1"/>
          <w:sz w:val="24"/>
          <w:szCs w:val="24"/>
        </w:rPr>
      </w:pPr>
    </w:p>
    <w:p>
      <w:pPr>
        <w:rPr>
          <w:rFonts w:asciiTheme="majorEastAsia" w:hAnsiTheme="majorEastAsia" w:eastAsiaTheme="majorEastAsia"/>
          <w:color w:val="000000" w:themeColor="text1"/>
          <w:sz w:val="24"/>
          <w:szCs w:val="24"/>
        </w:rPr>
      </w:pPr>
    </w:p>
    <w:p>
      <w:pPr>
        <w:rPr>
          <w:rFonts w:asciiTheme="majorEastAsia" w:hAnsiTheme="majorEastAsia" w:eastAsiaTheme="majorEastAsia"/>
          <w:color w:val="000000" w:themeColor="text1"/>
          <w:sz w:val="24"/>
          <w:szCs w:val="24"/>
        </w:rPr>
      </w:pPr>
    </w:p>
    <w:p>
      <w:pPr>
        <w:rPr>
          <w:rFonts w:asciiTheme="majorEastAsia" w:hAnsiTheme="majorEastAsia" w:eastAsiaTheme="majorEastAsia"/>
          <w:color w:val="000000" w:themeColor="text1"/>
          <w:sz w:val="24"/>
          <w:szCs w:val="24"/>
        </w:rPr>
      </w:pPr>
    </w:p>
    <w:p>
      <w:pPr>
        <w:rPr>
          <w:rFonts w:asciiTheme="majorEastAsia" w:hAnsiTheme="majorEastAsia" w:eastAsiaTheme="majorEastAsia"/>
          <w:color w:val="000000" w:themeColor="text1"/>
          <w:sz w:val="24"/>
          <w:szCs w:val="24"/>
        </w:rPr>
      </w:pPr>
    </w:p>
    <w:p>
      <w:pPr>
        <w:rPr>
          <w:rFonts w:asciiTheme="majorEastAsia" w:hAnsiTheme="majorEastAsia" w:eastAsiaTheme="majorEastAsia"/>
          <w:color w:val="000000" w:themeColor="text1"/>
          <w:sz w:val="24"/>
          <w:szCs w:val="24"/>
        </w:rPr>
      </w:pPr>
    </w:p>
    <w:p>
      <w:pPr>
        <w:pStyle w:val="5"/>
        <w:spacing w:before="240" w:after="240" w:line="360" w:lineRule="auto"/>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第四章  评标办法</w:t>
      </w:r>
      <w:bookmarkEnd w:id="3"/>
    </w:p>
    <w:p>
      <w:pPr>
        <w:tabs>
          <w:tab w:val="left" w:pos="3585"/>
        </w:tabs>
        <w:snapToGrid w:val="0"/>
        <w:spacing w:line="360" w:lineRule="auto"/>
        <w:ind w:firstLine="472" w:firstLineChars="196"/>
        <w:jc w:val="left"/>
        <w:rPr>
          <w:rFonts w:asciiTheme="majorEastAsia" w:hAnsiTheme="majorEastAsia" w:eastAsiaTheme="majorEastAsia"/>
          <w:b/>
          <w:color w:val="000000" w:themeColor="text1"/>
          <w:sz w:val="24"/>
          <w:szCs w:val="24"/>
        </w:rPr>
      </w:pPr>
      <w:r>
        <w:rPr>
          <w:rFonts w:hint="eastAsia" w:asciiTheme="majorEastAsia" w:hAnsiTheme="majorEastAsia" w:eastAsiaTheme="majorEastAsia"/>
          <w:b/>
          <w:bCs/>
          <w:color w:val="000000" w:themeColor="text1"/>
          <w:sz w:val="24"/>
          <w:szCs w:val="24"/>
        </w:rPr>
        <w:t>一、</w:t>
      </w:r>
      <w:r>
        <w:rPr>
          <w:rFonts w:hint="eastAsia" w:asciiTheme="majorEastAsia" w:hAnsiTheme="majorEastAsia" w:eastAsiaTheme="majorEastAsia"/>
          <w:b/>
          <w:color w:val="000000" w:themeColor="text1"/>
          <w:sz w:val="24"/>
          <w:szCs w:val="24"/>
        </w:rPr>
        <w:t>招标人组织开标</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磋商供应商的法定代表人或授权人须持有效身份证参加开标会。</w:t>
      </w:r>
    </w:p>
    <w:p>
      <w:pPr>
        <w:tabs>
          <w:tab w:val="left" w:pos="3585"/>
        </w:tabs>
        <w:snapToGrid w:val="0"/>
        <w:spacing w:line="360" w:lineRule="auto"/>
        <w:ind w:firstLine="472" w:firstLineChars="196"/>
        <w:jc w:val="left"/>
        <w:rPr>
          <w:rFonts w:asciiTheme="majorEastAsia" w:hAnsiTheme="majorEastAsia" w:eastAsiaTheme="majorEastAsia"/>
          <w:b/>
          <w:bCs/>
          <w:color w:val="000000" w:themeColor="text1"/>
          <w:sz w:val="24"/>
          <w:szCs w:val="24"/>
        </w:rPr>
      </w:pPr>
      <w:r>
        <w:rPr>
          <w:rFonts w:hint="eastAsia" w:asciiTheme="majorEastAsia" w:hAnsiTheme="majorEastAsia" w:eastAsiaTheme="majorEastAsia"/>
          <w:b/>
          <w:bCs/>
          <w:color w:val="000000" w:themeColor="text1"/>
          <w:sz w:val="24"/>
          <w:szCs w:val="24"/>
        </w:rPr>
        <w:t>二、评委会的组成</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评委会由招标人代表和委托的专家共</w:t>
      </w:r>
      <w:r>
        <w:rPr>
          <w:rFonts w:asciiTheme="majorEastAsia" w:hAnsiTheme="majorEastAsia" w:eastAsiaTheme="majorEastAsia"/>
          <w:color w:val="000000" w:themeColor="text1"/>
          <w:sz w:val="24"/>
          <w:szCs w:val="24"/>
        </w:rPr>
        <w:t>3</w:t>
      </w:r>
      <w:r>
        <w:rPr>
          <w:rFonts w:hint="eastAsia" w:asciiTheme="majorEastAsia" w:hAnsiTheme="majorEastAsia" w:eastAsiaTheme="majorEastAsia"/>
          <w:color w:val="000000" w:themeColor="text1"/>
          <w:sz w:val="24"/>
          <w:szCs w:val="24"/>
        </w:rPr>
        <w:t>人以上单数组成，对投标文件进行审查、评估、比较。评委会按照公平、公正、择优的原则进行独立评标。</w:t>
      </w:r>
    </w:p>
    <w:p>
      <w:pPr>
        <w:snapToGrid w:val="0"/>
        <w:spacing w:line="360" w:lineRule="auto"/>
        <w:ind w:firstLine="482" w:firstLineChars="200"/>
        <w:jc w:val="left"/>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（一）评审内容</w:t>
      </w:r>
    </w:p>
    <w:p>
      <w:pPr>
        <w:snapToGrid w:val="0"/>
        <w:spacing w:line="360" w:lineRule="auto"/>
        <w:ind w:firstLine="470" w:firstLineChars="196"/>
        <w:jc w:val="left"/>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w:t>
      </w:r>
      <w:r>
        <w:rPr>
          <w:rFonts w:hint="eastAsia" w:asciiTheme="majorEastAsia" w:hAnsiTheme="majorEastAsia" w:eastAsiaTheme="majorEastAsia"/>
          <w:color w:val="000000" w:themeColor="text1"/>
          <w:sz w:val="24"/>
          <w:szCs w:val="24"/>
        </w:rPr>
        <w:t>、磋商供应商投标资格；</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2</w:t>
      </w:r>
      <w:r>
        <w:rPr>
          <w:rFonts w:hint="eastAsia" w:asciiTheme="majorEastAsia" w:hAnsiTheme="majorEastAsia" w:eastAsiaTheme="majorEastAsia"/>
          <w:color w:val="000000" w:themeColor="text1"/>
          <w:sz w:val="24"/>
          <w:szCs w:val="24"/>
        </w:rPr>
        <w:t>、投标文件是否完整；</w:t>
      </w:r>
    </w:p>
    <w:p>
      <w:pPr>
        <w:snapToGrid w:val="0"/>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3、投标文件是否恰当地签署；</w:t>
      </w:r>
    </w:p>
    <w:p>
      <w:pPr>
        <w:snapToGrid w:val="0"/>
        <w:spacing w:line="360" w:lineRule="auto"/>
        <w:ind w:firstLine="480" w:firstLineChars="200"/>
        <w:jc w:val="left"/>
        <w:rPr>
          <w:rFonts w:asciiTheme="majorEastAsia" w:hAnsiTheme="majorEastAsia" w:eastAsiaTheme="majorEastAsia"/>
          <w:b/>
          <w:color w:val="000000" w:themeColor="text1"/>
          <w:sz w:val="24"/>
          <w:szCs w:val="24"/>
        </w:rPr>
      </w:pPr>
      <w:r>
        <w:rPr>
          <w:rFonts w:hint="eastAsia" w:asciiTheme="majorEastAsia" w:hAnsiTheme="majorEastAsia" w:eastAsiaTheme="majorEastAsia"/>
          <w:color w:val="000000" w:themeColor="text1"/>
          <w:sz w:val="24"/>
          <w:szCs w:val="24"/>
        </w:rPr>
        <w:t>4、是否作出实质性响应（</w:t>
      </w:r>
      <w:r>
        <w:rPr>
          <w:rFonts w:hint="eastAsia" w:asciiTheme="majorEastAsia" w:hAnsiTheme="majorEastAsia" w:eastAsiaTheme="majorEastAsia"/>
          <w:b/>
          <w:color w:val="000000" w:themeColor="text1"/>
          <w:sz w:val="24"/>
          <w:szCs w:val="24"/>
        </w:rPr>
        <w:t>是否有实质性响应，只根据投标文件本身，而不寻求外部证据）；</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5、是否有计算错误。</w:t>
      </w:r>
    </w:p>
    <w:p>
      <w:pPr>
        <w:snapToGrid w:val="0"/>
        <w:spacing w:line="360" w:lineRule="auto"/>
        <w:ind w:firstLine="482" w:firstLineChars="200"/>
        <w:jc w:val="left"/>
        <w:rPr>
          <w:rFonts w:asciiTheme="majorEastAsia" w:hAnsiTheme="majorEastAsia" w:eastAsiaTheme="majorEastAsia"/>
          <w:b/>
          <w:bCs/>
          <w:color w:val="000000" w:themeColor="text1"/>
          <w:sz w:val="24"/>
          <w:szCs w:val="24"/>
        </w:rPr>
      </w:pPr>
      <w:r>
        <w:rPr>
          <w:rFonts w:hint="eastAsia" w:asciiTheme="majorEastAsia" w:hAnsiTheme="majorEastAsia" w:eastAsiaTheme="majorEastAsia"/>
          <w:b/>
          <w:bCs/>
          <w:color w:val="000000" w:themeColor="text1"/>
          <w:sz w:val="24"/>
          <w:szCs w:val="24"/>
        </w:rPr>
        <w:t>（二）相应的规定</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asciiTheme="majorEastAsia" w:hAnsiTheme="majorEastAsia" w:eastAsiaTheme="majorEastAsia"/>
          <w:bCs/>
          <w:color w:val="000000" w:themeColor="text1"/>
          <w:sz w:val="24"/>
          <w:szCs w:val="24"/>
        </w:rPr>
        <w:t>1</w:t>
      </w:r>
      <w:r>
        <w:rPr>
          <w:rFonts w:hint="eastAsia" w:asciiTheme="majorEastAsia" w:hAnsiTheme="majorEastAsia" w:eastAsiaTheme="majorEastAsia"/>
          <w:bCs/>
          <w:color w:val="000000" w:themeColor="text1"/>
          <w:sz w:val="24"/>
          <w:szCs w:val="24"/>
        </w:rPr>
        <w:t>、</w:t>
      </w:r>
      <w:r>
        <w:rPr>
          <w:rFonts w:hint="eastAsia" w:asciiTheme="majorEastAsia" w:hAnsiTheme="majorEastAsia" w:eastAsiaTheme="majorEastAsia"/>
          <w:color w:val="000000" w:themeColor="text1"/>
          <w:sz w:val="24"/>
          <w:szCs w:val="24"/>
        </w:rPr>
        <w:t>如果单价汇总金额与总价金额有出入，以单价金额计算结果为准；</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2</w:t>
      </w:r>
      <w:r>
        <w:rPr>
          <w:rFonts w:hint="eastAsia" w:asciiTheme="majorEastAsia" w:hAnsiTheme="majorEastAsia" w:eastAsiaTheme="majorEastAsia"/>
          <w:color w:val="000000" w:themeColor="text1"/>
          <w:sz w:val="24"/>
          <w:szCs w:val="24"/>
        </w:rPr>
        <w:t>、单价金额小数点有明显错位的，应以总价为准；</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3</w:t>
      </w:r>
      <w:r>
        <w:rPr>
          <w:rFonts w:hint="eastAsia" w:asciiTheme="majorEastAsia" w:hAnsiTheme="majorEastAsia" w:eastAsiaTheme="majorEastAsia"/>
          <w:color w:val="000000" w:themeColor="text1"/>
          <w:sz w:val="24"/>
          <w:szCs w:val="24"/>
        </w:rPr>
        <w:t>、正本与副本有矛盾的，以正本为准；</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4</w:t>
      </w:r>
      <w:r>
        <w:rPr>
          <w:rFonts w:hint="eastAsia" w:asciiTheme="majorEastAsia" w:hAnsiTheme="majorEastAsia" w:eastAsiaTheme="majorEastAsia"/>
          <w:color w:val="000000" w:themeColor="text1"/>
          <w:sz w:val="24"/>
          <w:szCs w:val="24"/>
        </w:rPr>
        <w:t>、若文件大写表示的数据与数字表示的有差别，以大写表示的数据为准。</w:t>
      </w:r>
    </w:p>
    <w:p>
      <w:pPr>
        <w:shd w:val="clear" w:color="auto" w:fill="FFFFFF"/>
        <w:adjustRightInd w:val="0"/>
        <w:snapToGrid w:val="0"/>
        <w:spacing w:line="360" w:lineRule="auto"/>
        <w:ind w:firstLine="480" w:firstLineChars="200"/>
        <w:rPr>
          <w:rFonts w:cs="宋体" w:asciiTheme="majorEastAsia" w:hAnsiTheme="majorEastAsia" w:eastAsiaTheme="majorEastAsia"/>
          <w:snapToGrid w:val="0"/>
          <w:color w:val="000000" w:themeColor="text1"/>
          <w:kern w:val="0"/>
          <w:sz w:val="24"/>
          <w:szCs w:val="24"/>
        </w:rPr>
      </w:pPr>
      <w:r>
        <w:rPr>
          <w:rFonts w:cs="宋体" w:asciiTheme="majorEastAsia" w:hAnsiTheme="majorEastAsia" w:eastAsiaTheme="majorEastAsia"/>
          <w:snapToGrid w:val="0"/>
          <w:color w:val="000000" w:themeColor="text1"/>
          <w:kern w:val="0"/>
          <w:sz w:val="24"/>
          <w:szCs w:val="24"/>
        </w:rPr>
        <w:t>5</w:t>
      </w:r>
      <w:r>
        <w:rPr>
          <w:rFonts w:hint="eastAsia" w:cs="宋体" w:asciiTheme="majorEastAsia" w:hAnsiTheme="majorEastAsia" w:eastAsiaTheme="majorEastAsia"/>
          <w:snapToGrid w:val="0"/>
          <w:color w:val="000000" w:themeColor="text1"/>
          <w:kern w:val="0"/>
          <w:sz w:val="24"/>
          <w:szCs w:val="24"/>
        </w:rPr>
        <w:t>、最后报价是供应商响应文件的有效组成部分。</w:t>
      </w:r>
    </w:p>
    <w:p>
      <w:pPr>
        <w:shd w:val="clear" w:color="auto" w:fill="FFFFFF"/>
        <w:adjustRightInd w:val="0"/>
        <w:snapToGrid w:val="0"/>
        <w:spacing w:line="360" w:lineRule="auto"/>
        <w:ind w:firstLine="480" w:firstLineChars="200"/>
        <w:rPr>
          <w:rFonts w:cs="宋体" w:asciiTheme="majorEastAsia" w:hAnsiTheme="majorEastAsia" w:eastAsiaTheme="majorEastAsia"/>
          <w:snapToGrid w:val="0"/>
          <w:color w:val="000000" w:themeColor="text1"/>
          <w:kern w:val="0"/>
          <w:sz w:val="24"/>
          <w:szCs w:val="24"/>
        </w:rPr>
      </w:pPr>
      <w:r>
        <w:rPr>
          <w:rFonts w:cs="宋体" w:asciiTheme="majorEastAsia" w:hAnsiTheme="majorEastAsia" w:eastAsiaTheme="majorEastAsia"/>
          <w:snapToGrid w:val="0"/>
          <w:color w:val="000000" w:themeColor="text1"/>
          <w:kern w:val="0"/>
          <w:sz w:val="24"/>
          <w:szCs w:val="24"/>
        </w:rPr>
        <w:t>6</w:t>
      </w:r>
      <w:r>
        <w:rPr>
          <w:rFonts w:hint="eastAsia" w:cs="宋体" w:asciiTheme="majorEastAsia" w:hAnsiTheme="majorEastAsia" w:eastAsiaTheme="majorEastAsia"/>
          <w:snapToGrid w:val="0"/>
          <w:color w:val="000000" w:themeColor="text1"/>
          <w:kern w:val="0"/>
          <w:sz w:val="24"/>
          <w:szCs w:val="24"/>
        </w:rPr>
        <w:t>、除非在磋商中磋商小组对采购人需求内容作了调整增加，或对采购内容作了实质性变更，否则采购人不接受供应商高于自己前一轮的磋商报价。</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7、最后报价是供应商响应文件的有效组成部分。</w:t>
      </w:r>
      <w:r>
        <w:rPr>
          <w:rFonts w:hint="eastAsia" w:ascii="宋体" w:hAnsi="宋体"/>
          <w:sz w:val="24"/>
        </w:rPr>
        <w:t>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spacing w:afterLines="50" w:line="560" w:lineRule="exact"/>
        <w:ind w:firstLine="477" w:firstLineChars="199"/>
        <w:rPr>
          <w:rFonts w:ascii="宋体" w:hAnsi="宋体" w:eastAsia="宋体" w:cs="Times New Roman"/>
          <w:b/>
          <w:bCs/>
          <w:color w:val="FF0000"/>
          <w:sz w:val="24"/>
          <w:szCs w:val="24"/>
        </w:rPr>
      </w:pPr>
      <w:r>
        <w:rPr>
          <w:rFonts w:hint="eastAsia" w:ascii="宋体" w:hAnsi="宋体" w:eastAsia="宋体" w:cs="Times New Roman"/>
          <w:sz w:val="24"/>
          <w:szCs w:val="24"/>
        </w:rPr>
        <w:t>8、磋商供应商未在磋商小组规定的时间内完成最后报价的视为放弃磋商，其磋商响应按无效响应处理。最后报价须由磋商供应商法定代表人或授权代表签字或者加盖公章。</w:t>
      </w:r>
      <w:r>
        <w:rPr>
          <w:rFonts w:ascii="宋体" w:hAnsi="宋体" w:eastAsia="宋体" w:cs="Times New Roman"/>
          <w:sz w:val="24"/>
          <w:szCs w:val="24"/>
        </w:rPr>
        <w:t>已提交响应文件的供应商，在提交最后报价之前，可以根据磋商情况退出磋商。</w:t>
      </w:r>
      <w:r>
        <w:rPr>
          <w:rFonts w:hint="eastAsia" w:ascii="宋体" w:hAnsi="宋体" w:eastAsia="宋体" w:cs="Times New Roman"/>
          <w:sz w:val="24"/>
          <w:szCs w:val="24"/>
        </w:rPr>
        <w:t>采购人将</w:t>
      </w:r>
      <w:r>
        <w:rPr>
          <w:rFonts w:ascii="宋体" w:hAnsi="宋体" w:eastAsia="宋体" w:cs="Times New Roman"/>
          <w:sz w:val="24"/>
          <w:szCs w:val="24"/>
        </w:rPr>
        <w:t>退还退出磋商的供应商的磋商保证金。</w:t>
      </w:r>
    </w:p>
    <w:p>
      <w:pPr>
        <w:tabs>
          <w:tab w:val="left" w:pos="900"/>
        </w:tabs>
        <w:spacing w:afterLines="50" w:line="560" w:lineRule="exact"/>
        <w:ind w:firstLine="479" w:firstLineChars="199"/>
        <w:rPr>
          <w:rFonts w:asciiTheme="majorEastAsia" w:hAnsiTheme="majorEastAsia" w:eastAsiaTheme="majorEastAsia"/>
          <w:b/>
          <w:bCs/>
          <w:color w:val="000000" w:themeColor="text1"/>
          <w:sz w:val="24"/>
          <w:szCs w:val="24"/>
        </w:rPr>
      </w:pPr>
      <w:r>
        <w:rPr>
          <w:rFonts w:hint="eastAsia" w:asciiTheme="majorEastAsia" w:hAnsiTheme="majorEastAsia" w:eastAsiaTheme="majorEastAsia"/>
          <w:b/>
          <w:bCs/>
          <w:color w:val="000000" w:themeColor="text1"/>
          <w:sz w:val="24"/>
          <w:szCs w:val="24"/>
        </w:rPr>
        <w:t>三、陈述、演示、答疑、澄清</w:t>
      </w:r>
    </w:p>
    <w:p>
      <w:pPr>
        <w:snapToGrid w:val="0"/>
        <w:spacing w:line="360" w:lineRule="auto"/>
        <w:ind w:firstLine="480" w:firstLineChars="200"/>
        <w:jc w:val="left"/>
        <w:rPr>
          <w:rFonts w:asciiTheme="majorEastAsia" w:hAnsiTheme="majorEastAsia" w:eastAsiaTheme="majorEastAsia"/>
          <w:b/>
          <w:color w:val="000000" w:themeColor="text1"/>
          <w:sz w:val="24"/>
          <w:szCs w:val="24"/>
        </w:rPr>
      </w:pPr>
      <w:r>
        <w:rPr>
          <w:rFonts w:hint="eastAsia" w:asciiTheme="majorEastAsia" w:hAnsiTheme="majorEastAsia" w:eastAsiaTheme="majorEastAsia"/>
          <w:color w:val="000000" w:themeColor="text1"/>
          <w:sz w:val="24"/>
          <w:szCs w:val="24"/>
          <w:shd w:val="clear" w:color="auto" w:fill="FFFFFF"/>
        </w:rPr>
        <w:t>如评委会认为有必要，磋商供应商按评委会的要求作陈述、演示、</w:t>
      </w:r>
      <w:r>
        <w:rPr>
          <w:rFonts w:hint="eastAsia" w:asciiTheme="majorEastAsia" w:hAnsiTheme="majorEastAsia" w:eastAsiaTheme="majorEastAsia"/>
          <w:color w:val="000000" w:themeColor="text1"/>
          <w:sz w:val="24"/>
          <w:szCs w:val="24"/>
        </w:rPr>
        <w:t>答疑及澄清其投标内容。时间由</w:t>
      </w:r>
      <w:r>
        <w:rPr>
          <w:rFonts w:hint="eastAsia" w:asciiTheme="majorEastAsia" w:hAnsiTheme="majorEastAsia" w:eastAsiaTheme="majorEastAsia"/>
          <w:color w:val="000000" w:themeColor="text1"/>
          <w:sz w:val="24"/>
          <w:szCs w:val="24"/>
          <w:shd w:val="clear" w:color="auto" w:fill="FFFFFF"/>
        </w:rPr>
        <w:t>评委会</w:t>
      </w:r>
      <w:r>
        <w:rPr>
          <w:rFonts w:hint="eastAsia" w:asciiTheme="majorEastAsia" w:hAnsiTheme="majorEastAsia" w:eastAsiaTheme="majorEastAsia"/>
          <w:color w:val="000000" w:themeColor="text1"/>
          <w:sz w:val="24"/>
          <w:szCs w:val="24"/>
        </w:rPr>
        <w:t>掌握。</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重要澄清答复应是书面的，但不得对投标内容进行实质性修改。</w:t>
      </w:r>
    </w:p>
    <w:p>
      <w:pPr>
        <w:tabs>
          <w:tab w:val="left" w:pos="3585"/>
        </w:tabs>
        <w:snapToGrid w:val="0"/>
        <w:spacing w:line="360" w:lineRule="auto"/>
        <w:ind w:firstLine="472" w:firstLineChars="196"/>
        <w:jc w:val="left"/>
        <w:rPr>
          <w:rFonts w:asciiTheme="majorEastAsia" w:hAnsiTheme="majorEastAsia" w:eastAsiaTheme="majorEastAsia"/>
          <w:b/>
          <w:bCs/>
          <w:color w:val="000000" w:themeColor="text1"/>
          <w:sz w:val="24"/>
          <w:szCs w:val="24"/>
        </w:rPr>
      </w:pPr>
      <w:r>
        <w:rPr>
          <w:rFonts w:hint="eastAsia" w:asciiTheme="majorEastAsia" w:hAnsiTheme="majorEastAsia" w:eastAsiaTheme="majorEastAsia"/>
          <w:b/>
          <w:bCs/>
          <w:color w:val="000000" w:themeColor="text1"/>
          <w:sz w:val="24"/>
          <w:szCs w:val="24"/>
        </w:rPr>
        <w:t>四、出现下列情形之一的，作无效投标处理</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 未按照招标文件规定要求密封、签署、盖章的；</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2、未按照规定缴纳投标保证金。</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 投标人在报价时采用选择性报价；</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4、投标人不具备招标文件中规定资格要求的；</w:t>
      </w:r>
    </w:p>
    <w:p>
      <w:pPr>
        <w:spacing w:line="360" w:lineRule="auto"/>
        <w:ind w:left="959" w:leftChars="228" w:hanging="480" w:hanging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5、不符合法律、法规和招标文件中规定的其他实质性要求的；</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6、投标报价高于采购预算的；</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7、其他法律、法规及本招标文件规定的属无效投标的情形。</w:t>
      </w:r>
    </w:p>
    <w:p>
      <w:pPr>
        <w:tabs>
          <w:tab w:val="left" w:pos="3585"/>
        </w:tabs>
        <w:snapToGrid w:val="0"/>
        <w:spacing w:line="360" w:lineRule="auto"/>
        <w:ind w:firstLine="472" w:firstLineChars="196"/>
        <w:jc w:val="left"/>
        <w:rPr>
          <w:rFonts w:asciiTheme="majorEastAsia" w:hAnsiTheme="majorEastAsia" w:eastAsiaTheme="majorEastAsia"/>
          <w:b/>
          <w:bCs/>
          <w:color w:val="000000" w:themeColor="text1"/>
          <w:sz w:val="24"/>
          <w:szCs w:val="24"/>
        </w:rPr>
      </w:pPr>
      <w:r>
        <w:rPr>
          <w:rFonts w:hint="eastAsia" w:asciiTheme="majorEastAsia" w:hAnsiTheme="majorEastAsia" w:eastAsiaTheme="majorEastAsia"/>
          <w:b/>
          <w:bCs/>
          <w:color w:val="000000" w:themeColor="text1"/>
          <w:sz w:val="24"/>
          <w:szCs w:val="24"/>
        </w:rPr>
        <w:t>五、出现下列情形之一的，作废标处理</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w:t>
      </w:r>
      <w:r>
        <w:rPr>
          <w:rFonts w:hint="eastAsia" w:asciiTheme="majorEastAsia" w:hAnsiTheme="majorEastAsia" w:eastAsiaTheme="majorEastAsia"/>
          <w:color w:val="000000" w:themeColor="text1"/>
          <w:sz w:val="24"/>
          <w:szCs w:val="24"/>
        </w:rPr>
        <w:t>、出现影响采购公正的违法违规行为的；</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2</w:t>
      </w:r>
      <w:r>
        <w:rPr>
          <w:rFonts w:hint="eastAsia" w:asciiTheme="majorEastAsia" w:hAnsiTheme="majorEastAsia" w:eastAsiaTheme="majorEastAsia"/>
          <w:color w:val="000000" w:themeColor="text1"/>
          <w:sz w:val="24"/>
          <w:szCs w:val="24"/>
        </w:rPr>
        <w:t>、磋商供应商的报价均超过了采购预算，采购人不能支付的；</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3</w:t>
      </w:r>
      <w:r>
        <w:rPr>
          <w:rFonts w:hint="eastAsia" w:asciiTheme="majorEastAsia" w:hAnsiTheme="majorEastAsia" w:eastAsiaTheme="majorEastAsia"/>
          <w:color w:val="000000" w:themeColor="text1"/>
          <w:sz w:val="24"/>
          <w:szCs w:val="24"/>
        </w:rPr>
        <w:t>、因重大变故，采购任务取消的。</w:t>
      </w:r>
    </w:p>
    <w:p>
      <w:pPr>
        <w:snapToGrid w:val="0"/>
        <w:spacing w:line="360" w:lineRule="auto"/>
        <w:ind w:firstLine="480" w:firstLineChars="200"/>
        <w:jc w:val="left"/>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上述均保留</w:t>
      </w:r>
      <w:r>
        <w:rPr>
          <w:rFonts w:hint="eastAsia" w:asciiTheme="majorEastAsia" w:hAnsiTheme="majorEastAsia" w:eastAsiaTheme="majorEastAsia"/>
          <w:color w:val="000000" w:themeColor="text1"/>
          <w:sz w:val="24"/>
          <w:szCs w:val="24"/>
          <w:shd w:val="clear" w:color="auto" w:fill="FFFFFF"/>
        </w:rPr>
        <w:t>评委会</w:t>
      </w:r>
      <w:r>
        <w:rPr>
          <w:rFonts w:hint="eastAsia" w:asciiTheme="majorEastAsia" w:hAnsiTheme="majorEastAsia" w:eastAsiaTheme="majorEastAsia"/>
          <w:color w:val="000000" w:themeColor="text1"/>
          <w:sz w:val="24"/>
          <w:szCs w:val="24"/>
        </w:rPr>
        <w:t>认定可以确定为无效投标或废标的其他情况。</w:t>
      </w:r>
    </w:p>
    <w:p>
      <w:pPr>
        <w:tabs>
          <w:tab w:val="left" w:pos="900"/>
        </w:tabs>
        <w:spacing w:line="360" w:lineRule="auto"/>
        <w:ind w:firstLine="479" w:firstLineChars="199"/>
        <w:rPr>
          <w:rFonts w:ascii="宋体" w:hAnsi="宋体" w:eastAsia="宋体" w:cs="Times New Roman"/>
          <w:bCs/>
          <w:color w:val="FF0000"/>
          <w:sz w:val="24"/>
          <w:szCs w:val="24"/>
        </w:rPr>
      </w:pPr>
      <w:r>
        <w:rPr>
          <w:rFonts w:hint="eastAsia" w:ascii="宋体" w:hAnsi="宋体" w:eastAsia="宋体" w:cs="Times New Roman"/>
          <w:b/>
          <w:sz w:val="24"/>
          <w:szCs w:val="24"/>
        </w:rPr>
        <w:t>六、采购活动终止的情况</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出现下列情形之一的，本次竞争性磋商采购活动将被终止：</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（1）因情况变化，不再符合规定的竞争性磋商采购方式适用情形的；</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（2）出现影响采购公正的违法、违规行为的；</w:t>
      </w:r>
    </w:p>
    <w:p>
      <w:pPr>
        <w:pStyle w:val="2"/>
        <w:ind w:firstLine="0" w:firstLineChars="0"/>
        <w:rPr>
          <w:lang w:val="zh-CN"/>
        </w:rPr>
      </w:pPr>
      <w:r>
        <w:rPr>
          <w:rFonts w:hint="eastAsia" w:ascii="宋体" w:hAnsi="宋体" w:eastAsia="宋体" w:cs="Times New Roman"/>
          <w:sz w:val="24"/>
          <w:szCs w:val="24"/>
        </w:rPr>
        <w:t>（3）除本磋商文件第四章二（二）7条规定的情形外，在采购过程中符合要求的供应商或者报价未超过采购预算的供应商不足3家的。</w:t>
      </w:r>
    </w:p>
    <w:p>
      <w:pPr>
        <w:tabs>
          <w:tab w:val="left" w:pos="3585"/>
        </w:tabs>
        <w:snapToGrid w:val="0"/>
        <w:spacing w:line="360" w:lineRule="auto"/>
        <w:ind w:firstLine="472" w:firstLineChars="196"/>
        <w:jc w:val="left"/>
        <w:rPr>
          <w:rFonts w:asciiTheme="majorEastAsia" w:hAnsiTheme="majorEastAsia" w:eastAsiaTheme="majorEastAsia"/>
          <w:b/>
          <w:bCs/>
          <w:color w:val="000000" w:themeColor="text1"/>
          <w:sz w:val="24"/>
          <w:szCs w:val="24"/>
        </w:rPr>
      </w:pPr>
      <w:r>
        <w:rPr>
          <w:rFonts w:hint="eastAsia" w:asciiTheme="majorEastAsia" w:hAnsiTheme="majorEastAsia" w:eastAsiaTheme="majorEastAsia"/>
          <w:b/>
          <w:bCs/>
          <w:color w:val="000000" w:themeColor="text1"/>
          <w:sz w:val="24"/>
          <w:szCs w:val="24"/>
        </w:rPr>
        <w:t>七、评分标准</w:t>
      </w:r>
    </w:p>
    <w:p>
      <w:pPr>
        <w:autoSpaceDE w:val="0"/>
        <w:autoSpaceDN w:val="0"/>
        <w:snapToGrid w:val="0"/>
        <w:spacing w:line="360" w:lineRule="auto"/>
        <w:ind w:firstLine="480" w:firstLineChars="200"/>
        <w:jc w:val="left"/>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本次招标的评标方法采用综合评分法。即在最大限度地满足招标文件实质性要求前提下，按照招标文件中规定的各项因素进行综合评审，以评标总得分最高的磋商供应商作为中标候选供应商或者中标供应商的评标办法。</w:t>
      </w:r>
    </w:p>
    <w:p>
      <w:pPr>
        <w:snapToGrid w:val="0"/>
        <w:spacing w:line="360" w:lineRule="auto"/>
        <w:ind w:firstLine="555"/>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首先由采购人评审磋商供应商资格性、符合性，对合格的磋商供应商由评标委员会评审商务技术标，待商务技术标评审结束后，再评审价格。</w:t>
      </w:r>
    </w:p>
    <w:p>
      <w:pPr>
        <w:snapToGrid w:val="0"/>
        <w:spacing w:line="360" w:lineRule="auto"/>
        <w:ind w:firstLine="555"/>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评委在认真审阅投标文件的基础上，根据各投标文件的商务技术部分的响应情况，对各评分项目进行评分，</w:t>
      </w:r>
      <w:r>
        <w:rPr>
          <w:rFonts w:hint="eastAsia" w:cs="宋体" w:asciiTheme="majorEastAsia" w:hAnsiTheme="majorEastAsia" w:eastAsiaTheme="majorEastAsia"/>
          <w:b/>
          <w:color w:val="000000" w:themeColor="text1"/>
          <w:kern w:val="0"/>
          <w:sz w:val="24"/>
          <w:szCs w:val="24"/>
        </w:rPr>
        <w:t>不得统一打分</w:t>
      </w:r>
      <w:r>
        <w:rPr>
          <w:rFonts w:hint="eastAsia" w:asciiTheme="majorEastAsia" w:hAnsiTheme="majorEastAsia" w:eastAsiaTheme="majorEastAsia"/>
          <w:b/>
          <w:color w:val="000000" w:themeColor="text1"/>
          <w:sz w:val="24"/>
          <w:szCs w:val="24"/>
        </w:rPr>
        <w:t>。</w:t>
      </w:r>
    </w:p>
    <w:p>
      <w:pPr>
        <w:snapToGrid w:val="0"/>
        <w:spacing w:line="360" w:lineRule="auto"/>
        <w:ind w:firstLine="482" w:firstLineChars="200"/>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（一）采购人代表对磋商供应商资格性、符合性审查。</w:t>
      </w:r>
    </w:p>
    <w:p>
      <w:pPr>
        <w:pStyle w:val="30"/>
        <w:snapToGrid w:val="0"/>
        <w:spacing w:line="360" w:lineRule="auto"/>
        <w:ind w:firstLine="494"/>
        <w:contextualSpacing/>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磋商供应商资格性、符合性不合格的，其投标文件判定为无效投标文件。合格的，评委对其投标文件继续评审。</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（二）评委将以采购文件为评标依据，对投标人的投标报价、商务技术文件等内容打分。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（三）评分标准：</w:t>
      </w:r>
    </w:p>
    <w:p>
      <w:pPr>
        <w:snapToGrid w:val="0"/>
        <w:spacing w:line="360" w:lineRule="auto"/>
        <w:ind w:firstLine="480" w:firstLineChars="200"/>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color w:val="000000" w:themeColor="text1"/>
          <w:kern w:val="0"/>
          <w:sz w:val="24"/>
          <w:szCs w:val="24"/>
        </w:rPr>
        <w:t>本项目采用综合评分法。</w:t>
      </w:r>
      <w:r>
        <w:rPr>
          <w:rFonts w:hint="eastAsia" w:cs="宋体" w:asciiTheme="majorEastAsia" w:hAnsiTheme="majorEastAsia" w:eastAsiaTheme="majorEastAsia"/>
          <w:kern w:val="0"/>
          <w:sz w:val="24"/>
          <w:szCs w:val="24"/>
        </w:rPr>
        <w:t>价格标、技术商务标分值为100分，</w:t>
      </w:r>
      <w:r>
        <w:rPr>
          <w:rFonts w:hint="eastAsia" w:cs="宋体" w:asciiTheme="majorEastAsia" w:hAnsiTheme="majorEastAsia" w:eastAsiaTheme="majorEastAsia"/>
          <w:color w:val="000000" w:themeColor="text1"/>
          <w:kern w:val="0"/>
          <w:sz w:val="24"/>
          <w:szCs w:val="24"/>
        </w:rPr>
        <w:t>加分和减分因素除外。</w:t>
      </w:r>
    </w:p>
    <w:p>
      <w:pPr>
        <w:snapToGrid w:val="0"/>
        <w:spacing w:line="360" w:lineRule="auto"/>
        <w:ind w:left="568"/>
        <w:rPr>
          <w:rFonts w:cs="宋体" w:asciiTheme="majorEastAsia" w:hAnsiTheme="majorEastAsia" w:eastAsiaTheme="majorEastAsia"/>
          <w:b/>
          <w:color w:val="000000" w:themeColor="text1"/>
          <w:kern w:val="0"/>
          <w:sz w:val="24"/>
          <w:szCs w:val="24"/>
        </w:rPr>
      </w:pPr>
      <w:r>
        <w:rPr>
          <w:rFonts w:hint="eastAsia" w:cs="宋体" w:asciiTheme="majorEastAsia" w:hAnsiTheme="majorEastAsia" w:eastAsiaTheme="majorEastAsia"/>
          <w:b/>
          <w:color w:val="000000" w:themeColor="text1"/>
          <w:kern w:val="0"/>
          <w:sz w:val="24"/>
          <w:szCs w:val="24"/>
        </w:rPr>
        <w:t>一）采购人代表对投标人资格性、符合性审查。</w:t>
      </w:r>
    </w:p>
    <w:p>
      <w:pPr>
        <w:snapToGrid w:val="0"/>
        <w:spacing w:line="360" w:lineRule="auto"/>
        <w:ind w:firstLine="480" w:firstLineChars="200"/>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color w:val="000000" w:themeColor="text1"/>
          <w:kern w:val="0"/>
          <w:sz w:val="24"/>
          <w:szCs w:val="24"/>
        </w:rPr>
        <w:t>投标人资格性、符合性不合格的，其投标文件判定为无效投标文件。合格的，评委对其投标文件继续评审。</w:t>
      </w:r>
    </w:p>
    <w:p>
      <w:pPr>
        <w:snapToGrid w:val="0"/>
        <w:spacing w:line="360" w:lineRule="auto"/>
        <w:ind w:firstLine="555"/>
        <w:rPr>
          <w:rFonts w:asciiTheme="majorEastAsia" w:hAnsiTheme="majorEastAsia" w:eastAsiaTheme="majorEastAsia"/>
          <w:b/>
          <w:color w:val="000000" w:themeColor="text1"/>
          <w:sz w:val="24"/>
          <w:szCs w:val="24"/>
        </w:rPr>
      </w:pPr>
      <w:r>
        <w:rPr>
          <w:rFonts w:cs="宋体" w:asciiTheme="majorEastAsia" w:hAnsiTheme="majorEastAsia" w:eastAsiaTheme="majorEastAsia"/>
          <w:b/>
          <w:color w:val="000000" w:themeColor="text1"/>
          <w:kern w:val="0"/>
          <w:sz w:val="24"/>
          <w:szCs w:val="24"/>
        </w:rPr>
        <w:t xml:space="preserve"> </w:t>
      </w:r>
      <w:r>
        <w:rPr>
          <w:rFonts w:hint="eastAsia" w:cs="宋体" w:asciiTheme="majorEastAsia" w:hAnsiTheme="majorEastAsia" w:eastAsiaTheme="majorEastAsia"/>
          <w:b/>
          <w:color w:val="000000" w:themeColor="text1"/>
          <w:kern w:val="0"/>
          <w:sz w:val="24"/>
          <w:szCs w:val="24"/>
        </w:rPr>
        <w:t>二</w:t>
      </w:r>
      <w:r>
        <w:rPr>
          <w:rFonts w:cs="宋体" w:asciiTheme="majorEastAsia" w:hAnsiTheme="majorEastAsia" w:eastAsiaTheme="majorEastAsia"/>
          <w:b/>
          <w:color w:val="000000" w:themeColor="text1"/>
          <w:kern w:val="0"/>
          <w:sz w:val="24"/>
          <w:szCs w:val="24"/>
        </w:rPr>
        <w:t>)</w:t>
      </w:r>
      <w:r>
        <w:rPr>
          <w:rFonts w:hint="eastAsia" w:asciiTheme="majorEastAsia" w:hAnsiTheme="majorEastAsia" w:eastAsiaTheme="majorEastAsia"/>
          <w:b/>
          <w:color w:val="000000" w:themeColor="text1"/>
          <w:sz w:val="24"/>
          <w:szCs w:val="24"/>
        </w:rPr>
        <w:t>综合评标办法</w:t>
      </w:r>
    </w:p>
    <w:p>
      <w:pPr>
        <w:pStyle w:val="38"/>
        <w:numPr>
          <w:ilvl w:val="0"/>
          <w:numId w:val="0"/>
        </w:numPr>
        <w:spacing w:line="360" w:lineRule="auto"/>
        <w:ind w:firstLine="482" w:firstLineChars="200"/>
        <w:rPr>
          <w:rFonts w:asciiTheme="majorEastAsia" w:hAnsiTheme="majorEastAsia" w:eastAsiaTheme="majorEastAsia"/>
          <w:color w:val="000000" w:themeColor="text1"/>
          <w:sz w:val="24"/>
          <w:szCs w:val="24"/>
        </w:rPr>
      </w:pPr>
      <w:bookmarkStart w:id="4" w:name="_Toc2517"/>
      <w:bookmarkStart w:id="5" w:name="_Toc468456627"/>
      <w:bookmarkStart w:id="6" w:name="_Toc28504"/>
      <w:r>
        <w:rPr>
          <w:rFonts w:hint="eastAsia" w:asciiTheme="majorEastAsia" w:hAnsiTheme="majorEastAsia" w:eastAsiaTheme="majorEastAsia"/>
          <w:color w:val="000000" w:themeColor="text1"/>
          <w:sz w:val="24"/>
          <w:szCs w:val="24"/>
        </w:rPr>
        <w:t>1、评标方法</w:t>
      </w:r>
      <w:bookmarkEnd w:id="4"/>
      <w:bookmarkEnd w:id="5"/>
      <w:bookmarkEnd w:id="6"/>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本项目采取综合评分法，指在最大限度地满足磋商文件实质性要求的前提下，按照磋商文件中规定的评分标准进行综合评审后，按评审后得分由高到低的顺序推荐中标候选人。得分相同的，按最后报价由低到高顺序排列。得分且报价相同的，按技术商务部分得分由高到低顺序排列。</w:t>
      </w:r>
    </w:p>
    <w:p>
      <w:pPr>
        <w:pStyle w:val="38"/>
        <w:numPr>
          <w:ilvl w:val="0"/>
          <w:numId w:val="0"/>
        </w:numPr>
        <w:spacing w:line="360" w:lineRule="auto"/>
        <w:ind w:firstLine="482" w:firstLineChars="200"/>
        <w:rPr>
          <w:rFonts w:asciiTheme="majorEastAsia" w:hAnsiTheme="majorEastAsia" w:eastAsiaTheme="majorEastAsia"/>
          <w:color w:val="000000" w:themeColor="text1"/>
          <w:sz w:val="24"/>
          <w:szCs w:val="24"/>
        </w:rPr>
      </w:pPr>
      <w:bookmarkStart w:id="7" w:name="_Toc27248"/>
      <w:bookmarkStart w:id="8" w:name="_Toc468456628"/>
      <w:bookmarkStart w:id="9" w:name="_Toc11687"/>
      <w:r>
        <w:rPr>
          <w:rFonts w:hint="eastAsia" w:asciiTheme="majorEastAsia" w:hAnsiTheme="majorEastAsia" w:eastAsiaTheme="majorEastAsia"/>
          <w:color w:val="000000" w:themeColor="text1"/>
          <w:sz w:val="24"/>
          <w:szCs w:val="24"/>
        </w:rPr>
        <w:t>2、评分标准</w:t>
      </w:r>
      <w:bookmarkEnd w:id="7"/>
      <w:bookmarkEnd w:id="8"/>
      <w:bookmarkEnd w:id="9"/>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综合评分法是指对磋商文件做出了实质性响应的投标文件进行评审打分（满分100分）。具体评分因素、评分标准及分值如下：</w:t>
      </w:r>
    </w:p>
    <w:tbl>
      <w:tblPr>
        <w:tblStyle w:val="19"/>
        <w:tblW w:w="9411" w:type="dxa"/>
        <w:tblInd w:w="0" w:type="dxa"/>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1486"/>
        <w:gridCol w:w="182"/>
        <w:gridCol w:w="6917"/>
        <w:gridCol w:w="826"/>
      </w:tblGrid>
      <w:tr>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486" w:type="dxa"/>
            <w:tcBorders>
              <w:top w:val="single" w:color="auto" w:sz="4" w:space="0"/>
              <w:left w:val="single" w:color="auto" w:sz="4" w:space="0"/>
              <w:bottom w:val="single" w:color="auto" w:sz="4" w:space="0"/>
              <w:right w:val="single" w:color="auto" w:sz="4" w:space="0"/>
            </w:tcBorders>
            <w:shd w:val="clear" w:color="auto" w:fill="A6A6A6"/>
            <w:vAlign w:val="center"/>
          </w:tcPr>
          <w:p>
            <w:pPr>
              <w:spacing w:line="360" w:lineRule="auto"/>
              <w:jc w:val="center"/>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评分</w:t>
            </w:r>
          </w:p>
          <w:p>
            <w:pPr>
              <w:autoSpaceDE w:val="0"/>
              <w:autoSpaceDN w:val="0"/>
              <w:adjustRightInd w:val="0"/>
              <w:spacing w:line="360" w:lineRule="auto"/>
              <w:jc w:val="center"/>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细则</w:t>
            </w:r>
          </w:p>
        </w:tc>
        <w:tc>
          <w:tcPr>
            <w:tcW w:w="7099"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pPr>
              <w:autoSpaceDE w:val="0"/>
              <w:autoSpaceDN w:val="0"/>
              <w:adjustRightInd w:val="0"/>
              <w:spacing w:line="360" w:lineRule="auto"/>
              <w:jc w:val="center"/>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细则内容</w:t>
            </w:r>
          </w:p>
        </w:tc>
        <w:tc>
          <w:tcPr>
            <w:tcW w:w="826" w:type="dxa"/>
            <w:tcBorders>
              <w:top w:val="single" w:color="auto" w:sz="4" w:space="0"/>
              <w:left w:val="single" w:color="auto" w:sz="4" w:space="0"/>
              <w:bottom w:val="single" w:color="auto" w:sz="4" w:space="0"/>
              <w:right w:val="single" w:color="auto" w:sz="4" w:space="0"/>
            </w:tcBorders>
            <w:shd w:val="clear" w:color="auto" w:fill="A6A6A6"/>
            <w:vAlign w:val="center"/>
          </w:tcPr>
          <w:p>
            <w:pPr>
              <w:autoSpaceDE w:val="0"/>
              <w:autoSpaceDN w:val="0"/>
              <w:adjustRightInd w:val="0"/>
              <w:spacing w:line="360" w:lineRule="auto"/>
              <w:ind w:left="-94" w:leftChars="-45" w:right="-122" w:rightChars="-58"/>
              <w:jc w:val="center"/>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分值</w:t>
            </w:r>
          </w:p>
        </w:tc>
      </w:tr>
      <w:tr>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1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94" w:leftChars="-45" w:right="-122" w:rightChars="-58"/>
              <w:jc w:val="center"/>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价格标得分（50分）</w:t>
            </w:r>
          </w:p>
        </w:tc>
      </w:tr>
      <w:tr>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投标报价</w:t>
            </w:r>
          </w:p>
          <w:p>
            <w:pPr>
              <w:spacing w:line="360" w:lineRule="auto"/>
              <w:jc w:val="center"/>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（50分）</w:t>
            </w:r>
          </w:p>
        </w:tc>
        <w:tc>
          <w:tcPr>
            <w:tcW w:w="709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综合评分法中的价格分统一采用低价优先法计算，即满足磋商文件要求且最后报价最低的供应商的价格为磋商基准价，其价格分为满分。其他供应商的价格分统一按照下列公式计算：</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磋商报价得分=（磋商基准价/最后磋商报价）×50%×100</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项目评审过程中，不得去掉最后报价中的最高报价和最低报价。</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tc>
        <w:tc>
          <w:tcPr>
            <w:tcW w:w="82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94" w:leftChars="-45" w:right="-122" w:rightChars="-58"/>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0-50分</w:t>
            </w:r>
          </w:p>
        </w:tc>
      </w:tr>
      <w:tr>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41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94" w:leftChars="-45" w:right="-122" w:rightChars="-58"/>
              <w:jc w:val="center"/>
              <w:rPr>
                <w:rFonts w:asciiTheme="majorEastAsia" w:hAnsiTheme="majorEastAsia" w:eastAsiaTheme="majorEastAsia"/>
                <w:color w:val="000000" w:themeColor="text1"/>
                <w:sz w:val="24"/>
                <w:szCs w:val="24"/>
              </w:rPr>
            </w:pPr>
            <w:r>
              <w:rPr>
                <w:rFonts w:hint="eastAsia" w:asciiTheme="majorEastAsia" w:hAnsiTheme="majorEastAsia" w:eastAsiaTheme="majorEastAsia"/>
                <w:b/>
                <w:color w:val="000000" w:themeColor="text1"/>
                <w:sz w:val="24"/>
                <w:szCs w:val="24"/>
              </w:rPr>
              <w:t>技术商务标得分（50分）</w:t>
            </w:r>
          </w:p>
        </w:tc>
      </w:tr>
      <w:tr>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体系认证</w:t>
            </w:r>
            <w:r>
              <w:rPr>
                <w:rFonts w:hint="eastAsia" w:asciiTheme="majorEastAsia" w:hAnsiTheme="majorEastAsia" w:eastAsiaTheme="majorEastAsia"/>
                <w:b/>
                <w:bCs/>
                <w:sz w:val="24"/>
                <w:szCs w:val="24"/>
              </w:rPr>
              <w:t>及证书</w:t>
            </w:r>
          </w:p>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w:t>
            </w:r>
            <w:r>
              <w:rPr>
                <w:rFonts w:hint="eastAsia" w:asciiTheme="majorEastAsia" w:hAnsiTheme="majorEastAsia" w:eastAsiaTheme="majorEastAsia"/>
                <w:b/>
                <w:bCs/>
                <w:sz w:val="24"/>
                <w:szCs w:val="24"/>
              </w:rPr>
              <w:t>12分</w:t>
            </w:r>
            <w:r>
              <w:rPr>
                <w:rFonts w:asciiTheme="majorEastAsia" w:hAnsiTheme="majorEastAsia" w:eastAsiaTheme="majorEastAsia"/>
                <w:sz w:val="24"/>
                <w:szCs w:val="24"/>
              </w:rPr>
              <w:t>）</w:t>
            </w:r>
          </w:p>
        </w:tc>
        <w:tc>
          <w:tcPr>
            <w:tcW w:w="69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（1）投标人通过质量管理ISO认证，提供证书复印件且在有效期内得2分，未提供或不满足得0分。</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（2）投标人通过环境管理ISO 认证，提供证书复印件且在有效期内得2分，未提供或不满足得0分。</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（3）投标人通过职业安全健康ISO认证，提供证书复印件且在有效期内得2分，未提供或不满足得0分。</w:t>
            </w:r>
          </w:p>
          <w:p>
            <w:pPr>
              <w:pStyle w:val="2"/>
              <w:spacing w:after="0" w:line="360" w:lineRule="auto"/>
              <w:ind w:left="0" w:leftChars="0" w:firstLine="0" w:firstLineChars="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（4）投标人2018年度维保星级达到五星的得6分，达到四星的得4分，达到三星的得2分，三星以下不得分。提供证书复印件，未提供或不满足得0分。</w:t>
            </w:r>
          </w:p>
          <w:p>
            <w:pPr>
              <w:pStyle w:val="2"/>
              <w:spacing w:after="0" w:line="360" w:lineRule="auto"/>
              <w:ind w:left="0" w:leftChars="0" w:firstLine="0" w:firstLineChars="0"/>
              <w:rPr>
                <w:rFonts w:asciiTheme="majorEastAsia" w:hAnsiTheme="majorEastAsia" w:eastAsiaTheme="majorEastAsia"/>
                <w:b/>
                <w:bCs/>
                <w:color w:val="FF0000"/>
                <w:sz w:val="24"/>
                <w:szCs w:val="24"/>
              </w:rPr>
            </w:pPr>
            <w:r>
              <w:rPr>
                <w:rFonts w:hint="eastAsia" w:asciiTheme="majorEastAsia" w:hAnsiTheme="majorEastAsia" w:eastAsiaTheme="majorEastAsia"/>
                <w:b/>
                <w:bCs/>
                <w:sz w:val="24"/>
                <w:szCs w:val="24"/>
              </w:rPr>
              <w:t>以上证书原件均需提供，并放入资格审查原件包中，原件未提供或提供不全的不得分。</w:t>
            </w:r>
          </w:p>
        </w:tc>
        <w:tc>
          <w:tcPr>
            <w:tcW w:w="826" w:type="dxa"/>
            <w:tcBorders>
              <w:top w:val="single" w:color="auto" w:sz="4" w:space="0"/>
              <w:left w:val="single" w:color="auto" w:sz="4" w:space="0"/>
              <w:bottom w:val="single" w:color="auto" w:sz="4" w:space="0"/>
              <w:right w:val="single" w:color="auto" w:sz="4" w:space="0"/>
            </w:tcBorders>
            <w:vAlign w:val="center"/>
          </w:tcPr>
          <w:p>
            <w:pPr>
              <w:spacing w:line="360" w:lineRule="auto"/>
              <w:ind w:left="-94" w:leftChars="-45" w:right="-122" w:rightChars="-58"/>
              <w:jc w:val="center"/>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0-12分</w:t>
            </w:r>
          </w:p>
        </w:tc>
      </w:tr>
      <w:tr>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668" w:type="dxa"/>
            <w:gridSpan w:val="2"/>
            <w:tcBorders>
              <w:top w:val="single" w:color="auto" w:sz="4" w:space="0"/>
              <w:left w:val="single" w:color="auto" w:sz="4" w:space="0"/>
              <w:right w:val="single" w:color="auto" w:sz="4" w:space="0"/>
            </w:tcBorders>
            <w:vAlign w:val="center"/>
          </w:tcPr>
          <w:p>
            <w:pPr>
              <w:spacing w:line="360" w:lineRule="auto"/>
              <w:jc w:val="center"/>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项目</w:t>
            </w:r>
            <w:r>
              <w:rPr>
                <w:rFonts w:asciiTheme="majorEastAsia" w:hAnsiTheme="majorEastAsia" w:eastAsiaTheme="majorEastAsia"/>
                <w:color w:val="000000" w:themeColor="text1"/>
                <w:sz w:val="24"/>
                <w:szCs w:val="24"/>
              </w:rPr>
              <w:t>业绩</w:t>
            </w:r>
          </w:p>
          <w:p>
            <w:pPr>
              <w:spacing w:line="360" w:lineRule="auto"/>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9分</w:t>
            </w:r>
            <w:r>
              <w:rPr>
                <w:rFonts w:asciiTheme="majorEastAsia" w:hAnsiTheme="majorEastAsia" w:eastAsiaTheme="majorEastAsia"/>
                <w:color w:val="000000" w:themeColor="text1"/>
                <w:sz w:val="24"/>
                <w:szCs w:val="24"/>
              </w:rPr>
              <w:t>）</w:t>
            </w:r>
          </w:p>
        </w:tc>
        <w:tc>
          <w:tcPr>
            <w:tcW w:w="6917" w:type="dxa"/>
            <w:tcBorders>
              <w:top w:val="single" w:color="auto" w:sz="4" w:space="0"/>
              <w:left w:val="single" w:color="auto" w:sz="4" w:space="0"/>
              <w:right w:val="single" w:color="auto" w:sz="4" w:space="0"/>
            </w:tcBorders>
            <w:vAlign w:val="center"/>
          </w:tcPr>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（1）投标人自2016年以来承担过电梯免保或维保单个合同100台以上的，每提供一份得3分，最高得9分。</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（2）投标人自2016年以来承担过电梯免保或维保单个合同60台以上的，每提供一份得2分，最高得6分。</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（3）投标人自2016年以来承担过电梯免保或维保单个合同30台以上的，每提供一份得得1分，最高得3分。</w:t>
            </w:r>
          </w:p>
          <w:p>
            <w:pPr>
              <w:pStyle w:val="2"/>
              <w:spacing w:line="360" w:lineRule="auto"/>
              <w:ind w:left="0" w:leftChars="0" w:firstLine="0" w:firstLineChars="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本项最高得分为9分。</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（以上需提供合同复印件，加盖投标人公章。</w:t>
            </w:r>
            <w:r>
              <w:rPr>
                <w:rFonts w:hint="eastAsia" w:asciiTheme="majorEastAsia" w:hAnsiTheme="majorEastAsia" w:eastAsiaTheme="majorEastAsia"/>
                <w:b/>
                <w:bCs/>
                <w:sz w:val="24"/>
                <w:szCs w:val="24"/>
              </w:rPr>
              <w:t>合同原件放入资格审查原件包中，原件未提供或提供不全的不得分。</w:t>
            </w:r>
            <w:r>
              <w:rPr>
                <w:rFonts w:hint="eastAsia" w:asciiTheme="majorEastAsia" w:hAnsiTheme="majorEastAsia" w:eastAsiaTheme="majorEastAsia"/>
                <w:sz w:val="24"/>
                <w:szCs w:val="24"/>
              </w:rPr>
              <w:t>）</w:t>
            </w:r>
          </w:p>
        </w:tc>
        <w:tc>
          <w:tcPr>
            <w:tcW w:w="826" w:type="dxa"/>
            <w:tcBorders>
              <w:top w:val="single" w:color="auto" w:sz="4" w:space="0"/>
              <w:left w:val="single" w:color="auto" w:sz="4" w:space="0"/>
              <w:right w:val="single" w:color="auto" w:sz="4" w:space="0"/>
            </w:tcBorders>
            <w:vAlign w:val="center"/>
          </w:tcPr>
          <w:p>
            <w:pPr>
              <w:spacing w:line="360" w:lineRule="auto"/>
              <w:ind w:left="-94" w:leftChars="-45" w:right="-122" w:rightChars="-58"/>
              <w:jc w:val="center"/>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0-9分</w:t>
            </w:r>
          </w:p>
        </w:tc>
      </w:tr>
      <w:tr>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b/>
                <w:sz w:val="24"/>
                <w:szCs w:val="24"/>
              </w:rPr>
            </w:pPr>
            <w:r>
              <w:rPr>
                <w:rFonts w:hint="eastAsia" w:asciiTheme="majorEastAsia" w:hAnsiTheme="majorEastAsia" w:eastAsiaTheme="majorEastAsia"/>
                <w:sz w:val="24"/>
                <w:szCs w:val="24"/>
              </w:rPr>
              <w:t xml:space="preserve">服务措施  </w:t>
            </w:r>
            <w:r>
              <w:rPr>
                <w:rFonts w:hint="eastAsia" w:asciiTheme="majorEastAsia" w:hAnsiTheme="majorEastAsia" w:eastAsiaTheme="majorEastAsia"/>
                <w:b/>
                <w:sz w:val="24"/>
                <w:szCs w:val="24"/>
              </w:rPr>
              <w:t>（需提供详细的服务方案及承诺函）</w:t>
            </w:r>
          </w:p>
          <w:p>
            <w:pPr>
              <w:spacing w:line="360" w:lineRule="auto"/>
              <w:jc w:val="center"/>
              <w:rPr>
                <w:rFonts w:asciiTheme="majorEastAsia" w:hAnsiTheme="majorEastAsia" w:eastAsiaTheme="majorEastAsia"/>
                <w:color w:val="000000" w:themeColor="text1"/>
                <w:sz w:val="24"/>
                <w:szCs w:val="24"/>
              </w:rPr>
            </w:pPr>
            <w:r>
              <w:rPr>
                <w:rFonts w:hint="eastAsia" w:asciiTheme="majorEastAsia" w:hAnsiTheme="majorEastAsia" w:eastAsiaTheme="majorEastAsia"/>
                <w:sz w:val="24"/>
                <w:szCs w:val="24"/>
              </w:rPr>
              <w:t>（12分）</w:t>
            </w:r>
          </w:p>
        </w:tc>
        <w:tc>
          <w:tcPr>
            <w:tcW w:w="691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ajorEastAsia" w:hAnsiTheme="majorEastAsia" w:eastAsiaTheme="majorEastAsia"/>
                <w:b/>
                <w:sz w:val="24"/>
                <w:szCs w:val="24"/>
              </w:rPr>
            </w:pPr>
            <w:r>
              <w:rPr>
                <w:rFonts w:hint="eastAsia" w:asciiTheme="majorEastAsia" w:hAnsiTheme="majorEastAsia" w:eastAsiaTheme="majorEastAsia"/>
                <w:sz w:val="24"/>
                <w:szCs w:val="24"/>
              </w:rPr>
              <w:t>（1）投标供应商必须提供24小时的驻点应急响应服务。</w:t>
            </w:r>
            <w:r>
              <w:rPr>
                <w:rFonts w:hint="eastAsia" w:asciiTheme="majorEastAsia" w:hAnsiTheme="majorEastAsia" w:eastAsiaTheme="majorEastAsia"/>
                <w:b/>
                <w:sz w:val="24"/>
                <w:szCs w:val="24"/>
              </w:rPr>
              <w:t>（2分）</w:t>
            </w:r>
          </w:p>
          <w:p>
            <w:pPr>
              <w:spacing w:line="360" w:lineRule="auto"/>
              <w:jc w:val="left"/>
              <w:rPr>
                <w:rFonts w:asciiTheme="majorEastAsia" w:hAnsiTheme="majorEastAsia" w:eastAsiaTheme="majorEastAsia"/>
                <w:b/>
                <w:sz w:val="24"/>
                <w:szCs w:val="24"/>
              </w:rPr>
            </w:pPr>
            <w:r>
              <w:rPr>
                <w:rFonts w:hint="eastAsia" w:asciiTheme="majorEastAsia" w:hAnsiTheme="majorEastAsia" w:eastAsiaTheme="majorEastAsia"/>
                <w:sz w:val="24"/>
                <w:szCs w:val="24"/>
              </w:rPr>
              <w:t>（2）能在接到故障或事故报警后15分钟内排除一般性故障或事故</w:t>
            </w:r>
            <w:r>
              <w:rPr>
                <w:rFonts w:hint="eastAsia" w:asciiTheme="majorEastAsia" w:hAnsiTheme="majorEastAsia" w:eastAsiaTheme="majorEastAsia"/>
                <w:b/>
                <w:sz w:val="24"/>
                <w:szCs w:val="24"/>
              </w:rPr>
              <w:t>。（2分）</w:t>
            </w:r>
          </w:p>
          <w:p>
            <w:pPr>
              <w:spacing w:line="360" w:lineRule="auto"/>
              <w:jc w:val="left"/>
              <w:rPr>
                <w:rFonts w:asciiTheme="majorEastAsia" w:hAnsiTheme="majorEastAsia" w:eastAsiaTheme="majorEastAsia"/>
                <w:b/>
                <w:sz w:val="24"/>
                <w:szCs w:val="24"/>
              </w:rPr>
            </w:pPr>
            <w:r>
              <w:rPr>
                <w:rFonts w:hint="eastAsia" w:asciiTheme="majorEastAsia" w:hAnsiTheme="majorEastAsia" w:eastAsiaTheme="majorEastAsia"/>
                <w:sz w:val="24"/>
                <w:szCs w:val="24"/>
              </w:rPr>
              <w:t>（3）对电梯困人事件要求在到达现场后10分钟内把乘客从轿厢中救出、对非电子线路板损坏的原因常见故障要求在15分钟内排除，对电子线路板损坏的原因故障应在合同认可的合理时间内解决。</w:t>
            </w:r>
            <w:r>
              <w:rPr>
                <w:rFonts w:hint="eastAsia" w:asciiTheme="majorEastAsia" w:hAnsiTheme="majorEastAsia" w:eastAsiaTheme="majorEastAsia"/>
                <w:b/>
                <w:sz w:val="24"/>
                <w:szCs w:val="24"/>
              </w:rPr>
              <w:t>（2分）</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b/>
                <w:sz w:val="24"/>
                <w:szCs w:val="24"/>
              </w:rPr>
              <w:t>上述（1）、（2）、（3）项需同时提供详细的服务方案及承诺函（承诺函格式自拟），否则不得分。不能满足上述任一一点时间要求的，作无效标处理。</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（4）驻点服务的人员数量不少于2人标准配备，提供驻点人员的姓名、通讯号码、有效的特种设备作业人员资格证书复印件、与投标人的劳动合同复印件、投标人为其缴纳的2019年9-11月的养老保险缴费证明。</w:t>
            </w:r>
            <w:r>
              <w:rPr>
                <w:rFonts w:hint="eastAsia" w:asciiTheme="majorEastAsia" w:hAnsiTheme="majorEastAsia" w:eastAsiaTheme="majorEastAsia"/>
                <w:b/>
                <w:sz w:val="24"/>
                <w:szCs w:val="24"/>
              </w:rPr>
              <w:t>满足以上要求得4分。</w:t>
            </w:r>
            <w:r>
              <w:rPr>
                <w:rFonts w:hint="eastAsia" w:asciiTheme="majorEastAsia" w:hAnsiTheme="majorEastAsia" w:eastAsiaTheme="majorEastAsia"/>
                <w:sz w:val="24"/>
                <w:szCs w:val="24"/>
              </w:rPr>
              <w:t>维保人员配备不满足上述要求的做无效标处理，投标供应商提供售后服务承诺函（格式自拟）。</w:t>
            </w:r>
          </w:p>
          <w:p>
            <w:pPr>
              <w:pStyle w:val="2"/>
              <w:spacing w:after="0" w:line="360" w:lineRule="auto"/>
              <w:ind w:left="0" w:leftChars="0" w:firstLine="0" w:firstLineChars="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注：人员证书、合同、养老保险缴费证明原件放入资格审查原件包中，原件未提供或提供不全的不得分。</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sz w:val="24"/>
                <w:szCs w:val="24"/>
              </w:rPr>
              <w:t>（5）能承诺调整驻场服务人员需征得招标方同意或应招标方要求及时调整驻场人员。</w:t>
            </w:r>
            <w:r>
              <w:rPr>
                <w:rFonts w:hint="eastAsia" w:asciiTheme="majorEastAsia" w:hAnsiTheme="majorEastAsia" w:eastAsiaTheme="majorEastAsia"/>
                <w:b/>
                <w:sz w:val="24"/>
                <w:szCs w:val="24"/>
              </w:rPr>
              <w:t>（2分）</w:t>
            </w:r>
            <w:r>
              <w:rPr>
                <w:rFonts w:hint="eastAsia" w:asciiTheme="majorEastAsia" w:hAnsiTheme="majorEastAsia" w:eastAsiaTheme="majorEastAsia"/>
                <w:sz w:val="24"/>
                <w:szCs w:val="24"/>
              </w:rPr>
              <w:t>（承诺函格式自拟）</w:t>
            </w:r>
          </w:p>
        </w:tc>
        <w:tc>
          <w:tcPr>
            <w:tcW w:w="826" w:type="dxa"/>
            <w:tcBorders>
              <w:top w:val="single" w:color="auto" w:sz="4" w:space="0"/>
              <w:left w:val="single" w:color="auto" w:sz="4" w:space="0"/>
              <w:bottom w:val="single" w:color="auto" w:sz="4" w:space="0"/>
              <w:right w:val="single" w:color="auto" w:sz="4" w:space="0"/>
            </w:tcBorders>
            <w:vAlign w:val="center"/>
          </w:tcPr>
          <w:p>
            <w:pPr>
              <w:spacing w:line="360" w:lineRule="auto"/>
              <w:ind w:left="-94" w:leftChars="-45" w:right="-122" w:rightChars="-58"/>
              <w:jc w:val="center"/>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0-12分</w:t>
            </w:r>
          </w:p>
        </w:tc>
      </w:tr>
      <w:tr>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驻通机构</w:t>
            </w:r>
          </w:p>
          <w:p>
            <w:pPr>
              <w:spacing w:line="360" w:lineRule="auto"/>
              <w:jc w:val="center"/>
              <w:rPr>
                <w:rFonts w:asciiTheme="majorEastAsia" w:hAnsiTheme="majorEastAsia" w:eastAsiaTheme="majorEastAsia"/>
                <w:color w:val="000000" w:themeColor="text1"/>
                <w:sz w:val="24"/>
                <w:szCs w:val="24"/>
              </w:rPr>
            </w:pPr>
            <w:r>
              <w:rPr>
                <w:rFonts w:asciiTheme="majorEastAsia" w:hAnsiTheme="majorEastAsia" w:eastAsiaTheme="majorEastAsia"/>
                <w:sz w:val="24"/>
                <w:szCs w:val="24"/>
              </w:rPr>
              <w:t>（</w:t>
            </w:r>
            <w:r>
              <w:rPr>
                <w:rFonts w:hint="eastAsia" w:asciiTheme="majorEastAsia" w:hAnsiTheme="majorEastAsia" w:eastAsiaTheme="majorEastAsia"/>
                <w:sz w:val="24"/>
                <w:szCs w:val="24"/>
              </w:rPr>
              <w:t>5分</w:t>
            </w:r>
            <w:r>
              <w:rPr>
                <w:rFonts w:asciiTheme="majorEastAsia" w:hAnsiTheme="majorEastAsia" w:eastAsiaTheme="majorEastAsia"/>
                <w:sz w:val="24"/>
                <w:szCs w:val="24"/>
              </w:rPr>
              <w:t>）</w:t>
            </w:r>
          </w:p>
        </w:tc>
        <w:tc>
          <w:tcPr>
            <w:tcW w:w="6917" w:type="dxa"/>
            <w:tcBorders>
              <w:top w:val="single" w:color="auto" w:sz="4" w:space="0"/>
              <w:left w:val="single" w:color="auto" w:sz="4" w:space="0"/>
              <w:bottom w:val="single" w:color="auto" w:sz="4" w:space="0"/>
              <w:right w:val="single" w:color="auto" w:sz="4" w:space="0"/>
            </w:tcBorders>
            <w:vAlign w:val="center"/>
          </w:tcPr>
          <w:p>
            <w:pPr>
              <w:pStyle w:val="2"/>
              <w:spacing w:after="0" w:line="360" w:lineRule="auto"/>
              <w:ind w:left="0" w:leftChars="0" w:firstLine="0" w:firstLineChars="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投标人有驻通机构、维保人员达到20名及以上的的得5分。提供驻通机构证明（房产证或房屋租赁协议）、维保人员特种设备操作证、维保人员近六个月（连续缴纳至2019年11月）的缴纳社保的证明材料及劳动合同。</w:t>
            </w:r>
          </w:p>
          <w:p>
            <w:pPr>
              <w:pStyle w:val="2"/>
              <w:spacing w:after="0" w:line="360" w:lineRule="auto"/>
              <w:ind w:left="0" w:leftChars="0" w:firstLine="0" w:firstLineChars="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以上材料均需提供原件，原件未提供或提供不全的不得分。维保人员不足20名的不得分。</w:t>
            </w:r>
          </w:p>
        </w:tc>
        <w:tc>
          <w:tcPr>
            <w:tcW w:w="826" w:type="dxa"/>
            <w:tcBorders>
              <w:top w:val="single" w:color="auto" w:sz="4" w:space="0"/>
              <w:left w:val="single" w:color="auto" w:sz="4" w:space="0"/>
              <w:bottom w:val="single" w:color="auto" w:sz="4" w:space="0"/>
              <w:right w:val="single" w:color="auto" w:sz="4" w:space="0"/>
            </w:tcBorders>
            <w:vAlign w:val="center"/>
          </w:tcPr>
          <w:p>
            <w:pPr>
              <w:spacing w:line="360" w:lineRule="auto"/>
              <w:ind w:left="-94" w:leftChars="-45" w:right="-122" w:rightChars="-58"/>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0-5分</w:t>
            </w:r>
          </w:p>
        </w:tc>
      </w:tr>
      <w:tr>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pStyle w:val="33"/>
              <w:spacing w:line="360" w:lineRule="auto"/>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电梯配件及价格清单（不限于所给清单内容，投标人可对清单所列的配件进行补充，所报价格服务期内不得变动）（12分）</w:t>
            </w:r>
          </w:p>
        </w:tc>
        <w:tc>
          <w:tcPr>
            <w:tcW w:w="6917" w:type="dxa"/>
            <w:tcBorders>
              <w:top w:val="single" w:color="auto" w:sz="4" w:space="0"/>
              <w:left w:val="single" w:color="auto" w:sz="4" w:space="0"/>
              <w:bottom w:val="single" w:color="auto" w:sz="4" w:space="0"/>
              <w:right w:val="single" w:color="auto" w:sz="4" w:space="0"/>
            </w:tcBorders>
            <w:vAlign w:val="center"/>
          </w:tcPr>
          <w:p>
            <w:pPr>
              <w:pStyle w:val="33"/>
              <w:spacing w:line="360" w:lineRule="auto"/>
              <w:ind w:firstLine="0"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1、投标人补充的配件要从所给清单后面依次向后排，不得打乱已给清单中各项配件的顺序。</w:t>
            </w:r>
          </w:p>
          <w:p>
            <w:pPr>
              <w:pStyle w:val="33"/>
              <w:spacing w:line="360" w:lineRule="auto"/>
              <w:ind w:firstLine="0"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2、有效投标文件的电梯配件明细及价格清单比较打分。</w:t>
            </w:r>
          </w:p>
          <w:p>
            <w:pPr>
              <w:pStyle w:val="33"/>
              <w:spacing w:line="360" w:lineRule="auto"/>
              <w:ind w:firstLine="0" w:firstLineChars="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3、除提供的配件清单项外，补充的配件项目多一项得1分，最多得2分。</w:t>
            </w:r>
          </w:p>
          <w:p>
            <w:pPr>
              <w:pStyle w:val="33"/>
              <w:spacing w:line="360" w:lineRule="auto"/>
              <w:ind w:firstLine="0" w:firstLineChars="0"/>
              <w:jc w:val="left"/>
              <w:rPr>
                <w:rFonts w:asciiTheme="majorEastAsia" w:hAnsiTheme="majorEastAsia" w:eastAsiaTheme="majorEastAsia"/>
                <w:b/>
                <w:sz w:val="24"/>
                <w:szCs w:val="24"/>
              </w:rPr>
            </w:pPr>
            <w:r>
              <w:rPr>
                <w:rFonts w:hint="eastAsia" w:asciiTheme="majorEastAsia" w:hAnsiTheme="majorEastAsia" w:eastAsiaTheme="majorEastAsia"/>
                <w:b/>
                <w:bCs/>
                <w:sz w:val="24"/>
                <w:szCs w:val="24"/>
              </w:rPr>
              <w:t>4、相同配件进行价格比较找出最低价。按各投标人的最低价个数由多到少排序，最低价个数最多的得10分，每降一名扣2分，最少得0分（满分10分）</w:t>
            </w:r>
            <w:r>
              <w:rPr>
                <w:rFonts w:hint="eastAsia" w:asciiTheme="majorEastAsia" w:hAnsiTheme="majorEastAsia" w:eastAsiaTheme="majorEastAsia"/>
                <w:b/>
                <w:sz w:val="24"/>
                <w:szCs w:val="24"/>
              </w:rPr>
              <w:t>。</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b/>
                <w:sz w:val="24"/>
                <w:szCs w:val="24"/>
              </w:rPr>
              <w:t>5、承诺所提供配件必须是电梯原产品牌配件。</w:t>
            </w:r>
            <w:r>
              <w:rPr>
                <w:rFonts w:hint="eastAsia" w:asciiTheme="majorEastAsia" w:hAnsiTheme="majorEastAsia" w:eastAsiaTheme="majorEastAsia"/>
                <w:sz w:val="24"/>
                <w:szCs w:val="24"/>
              </w:rPr>
              <w:t>（电梯配件清单详见附件）（承诺书格式自拟）</w:t>
            </w:r>
          </w:p>
        </w:tc>
        <w:tc>
          <w:tcPr>
            <w:tcW w:w="826" w:type="dxa"/>
            <w:tcBorders>
              <w:top w:val="single" w:color="auto" w:sz="4" w:space="0"/>
              <w:left w:val="single" w:color="auto" w:sz="4" w:space="0"/>
              <w:bottom w:val="single" w:color="auto" w:sz="4" w:space="0"/>
              <w:right w:val="single" w:color="auto" w:sz="4" w:space="0"/>
            </w:tcBorders>
            <w:vAlign w:val="center"/>
          </w:tcPr>
          <w:p>
            <w:pPr>
              <w:spacing w:line="360" w:lineRule="auto"/>
              <w:ind w:left="-94" w:leftChars="-45" w:right="-122" w:rightChars="-58"/>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0-12分</w:t>
            </w:r>
          </w:p>
        </w:tc>
      </w:tr>
    </w:tbl>
    <w:p>
      <w:pPr>
        <w:spacing w:line="360" w:lineRule="auto"/>
        <w:ind w:firstLine="482" w:firstLineChars="200"/>
        <w:rPr>
          <w:rFonts w:asciiTheme="majorEastAsia" w:hAnsiTheme="majorEastAsia" w:eastAsiaTheme="majorEastAsia"/>
          <w:b/>
          <w:bCs/>
          <w:color w:val="000000" w:themeColor="text1"/>
          <w:sz w:val="24"/>
          <w:szCs w:val="24"/>
        </w:rPr>
      </w:pPr>
      <w:r>
        <w:rPr>
          <w:rFonts w:hint="eastAsia" w:asciiTheme="majorEastAsia" w:hAnsiTheme="majorEastAsia" w:eastAsiaTheme="majorEastAsia"/>
          <w:b/>
          <w:bCs/>
          <w:color w:val="000000" w:themeColor="text1"/>
          <w:sz w:val="24"/>
          <w:szCs w:val="24"/>
        </w:rPr>
        <w:t>注：1、技术商务分为所有技术标评委打分的算术平均值（计算结果均四舍五入保留两位小数）。</w:t>
      </w:r>
    </w:p>
    <w:p>
      <w:pPr>
        <w:spacing w:line="360" w:lineRule="auto"/>
        <w:ind w:firstLine="482" w:firstLineChars="200"/>
        <w:rPr>
          <w:rFonts w:asciiTheme="majorEastAsia" w:hAnsiTheme="majorEastAsia" w:eastAsiaTheme="majorEastAsia"/>
          <w:b/>
          <w:bCs/>
          <w:color w:val="000000" w:themeColor="text1"/>
          <w:sz w:val="24"/>
          <w:szCs w:val="24"/>
        </w:rPr>
      </w:pPr>
      <w:r>
        <w:rPr>
          <w:rFonts w:hint="eastAsia" w:asciiTheme="majorEastAsia" w:hAnsiTheme="majorEastAsia" w:eastAsiaTheme="majorEastAsia"/>
          <w:b/>
          <w:bCs/>
          <w:color w:val="000000" w:themeColor="text1"/>
          <w:sz w:val="24"/>
          <w:szCs w:val="24"/>
        </w:rPr>
        <w:t>2、技术商务标涉及到的所有相关合同、证书或证明材料须提供原件，原件密封在资格审查资料原件包中携带至评审现场查验。未携带原件或因携带原件不全所引起的后果由投标供应商自行承担。</w:t>
      </w:r>
    </w:p>
    <w:p>
      <w:pPr>
        <w:spacing w:line="360" w:lineRule="auto"/>
        <w:ind w:firstLine="482" w:firstLineChars="200"/>
        <w:rPr>
          <w:rFonts w:asciiTheme="majorEastAsia" w:hAnsiTheme="majorEastAsia" w:eastAsiaTheme="majorEastAsia"/>
          <w:b/>
          <w:bCs/>
          <w:color w:val="000000" w:themeColor="text1"/>
          <w:sz w:val="24"/>
          <w:szCs w:val="24"/>
        </w:rPr>
      </w:pPr>
      <w:r>
        <w:rPr>
          <w:rFonts w:hint="eastAsia" w:asciiTheme="majorEastAsia" w:hAnsiTheme="majorEastAsia" w:eastAsiaTheme="majorEastAsia"/>
          <w:b/>
          <w:bCs/>
          <w:color w:val="000000" w:themeColor="text1"/>
          <w:sz w:val="24"/>
          <w:szCs w:val="24"/>
        </w:rPr>
        <w:t>3、投标人的商务标评审得分直接计算取得，并与其技术商务标得分相加为该投标人的综合得分（计算结果均四舍五入保留两位小数）。</w:t>
      </w:r>
    </w:p>
    <w:p>
      <w:pPr>
        <w:pStyle w:val="2"/>
        <w:spacing w:after="0" w:line="360" w:lineRule="auto"/>
        <w:ind w:left="0" w:leftChars="0" w:firstLine="482"/>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4、成交供应商</w:t>
      </w:r>
      <w:r>
        <w:rPr>
          <w:rFonts w:hint="eastAsia" w:asciiTheme="majorEastAsia" w:hAnsiTheme="majorEastAsia" w:eastAsiaTheme="majorEastAsia"/>
          <w:b/>
          <w:sz w:val="24"/>
          <w:szCs w:val="24"/>
        </w:rPr>
        <w:t>服务措施中提供的详细服务方案、承诺函将构成服务期内的考核细则</w:t>
      </w:r>
      <w:r>
        <w:rPr>
          <w:rFonts w:hint="eastAsia" w:asciiTheme="majorEastAsia" w:hAnsiTheme="majorEastAsia" w:eastAsiaTheme="majorEastAsia"/>
          <w:b/>
          <w:bCs/>
          <w:sz w:val="24"/>
          <w:szCs w:val="24"/>
        </w:rPr>
        <w:t>，如成交供应商在合同服务期内，不能按照考核细则履行合同，则采购单位有权立即终止合同，另行招标，所产生的一切后果由成交供应商承担。</w:t>
      </w:r>
    </w:p>
    <w:p>
      <w:pPr>
        <w:spacing w:line="360" w:lineRule="auto"/>
        <w:ind w:firstLine="482" w:firstLineChars="200"/>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b/>
          <w:bCs/>
          <w:color w:val="000000" w:themeColor="text1"/>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723" w:firstLineChars="300"/>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本办法未尽事宜，由评委会依据有关法规研究解决。</w:t>
      </w:r>
    </w:p>
    <w:p>
      <w:pPr>
        <w:tabs>
          <w:tab w:val="left" w:pos="900"/>
        </w:tabs>
        <w:spacing w:line="360" w:lineRule="auto"/>
        <w:ind w:firstLine="479" w:firstLineChars="199"/>
        <w:rPr>
          <w:rFonts w:ascii="宋体" w:hAnsi="宋体" w:eastAsia="宋体" w:cs="Times New Roman"/>
          <w:b/>
          <w:sz w:val="24"/>
          <w:szCs w:val="24"/>
        </w:rPr>
      </w:pPr>
      <w:r>
        <w:rPr>
          <w:rFonts w:hint="eastAsia" w:ascii="宋体" w:hAnsi="宋体" w:eastAsia="宋体" w:cs="Times New Roman"/>
          <w:b/>
          <w:sz w:val="24"/>
          <w:szCs w:val="24"/>
        </w:rPr>
        <w:t>八、成交</w:t>
      </w:r>
    </w:p>
    <w:p>
      <w:pPr>
        <w:tabs>
          <w:tab w:val="left" w:pos="900"/>
        </w:tabs>
        <w:spacing w:line="360" w:lineRule="auto"/>
        <w:ind w:firstLine="477" w:firstLineChars="199"/>
        <w:rPr>
          <w:rFonts w:ascii="宋体" w:hAnsi="宋体" w:eastAsia="宋体" w:cs="Times New Roman"/>
          <w:sz w:val="24"/>
          <w:szCs w:val="24"/>
        </w:rPr>
      </w:pPr>
      <w:bookmarkStart w:id="10" w:name="_Toc513029238"/>
      <w:bookmarkStart w:id="11" w:name="_Toc16938554"/>
      <w:bookmarkStart w:id="12" w:name="_Toc20823310"/>
      <w:r>
        <w:rPr>
          <w:rFonts w:hint="eastAsia" w:ascii="宋体" w:hAnsi="宋体" w:eastAsia="宋体" w:cs="Times New Roman"/>
          <w:sz w:val="24"/>
          <w:szCs w:val="24"/>
        </w:rPr>
        <w:t>1、</w:t>
      </w:r>
      <w:bookmarkEnd w:id="10"/>
      <w:r>
        <w:rPr>
          <w:rFonts w:hint="eastAsia" w:ascii="宋体" w:hAnsi="宋体" w:eastAsia="宋体" w:cs="Times New Roman"/>
          <w:sz w:val="24"/>
          <w:szCs w:val="24"/>
        </w:rPr>
        <w:t>确定</w:t>
      </w:r>
      <w:bookmarkEnd w:id="11"/>
      <w:bookmarkEnd w:id="12"/>
      <w:r>
        <w:rPr>
          <w:rFonts w:hint="eastAsia" w:ascii="宋体" w:hAnsi="宋体" w:eastAsia="宋体" w:cs="Times New Roman"/>
          <w:sz w:val="24"/>
          <w:szCs w:val="24"/>
        </w:rPr>
        <w:t>成交单位</w:t>
      </w:r>
    </w:p>
    <w:p>
      <w:pPr>
        <w:tabs>
          <w:tab w:val="left" w:pos="900"/>
        </w:tabs>
        <w:spacing w:line="360" w:lineRule="auto"/>
        <w:ind w:firstLine="477" w:firstLineChars="199"/>
      </w:pPr>
      <w:r>
        <w:rPr>
          <w:rFonts w:hint="eastAsia" w:ascii="宋体" w:hAnsi="宋体" w:eastAsia="宋体" w:cs="Times New Roman"/>
          <w:sz w:val="24"/>
          <w:szCs w:val="24"/>
        </w:rPr>
        <w:t>1.1 磋商小组根据综合评分情况，按照评审得分由高到低顺序推荐成交候选供应商，并编写评审报告。评审</w:t>
      </w:r>
      <w:r>
        <w:rPr>
          <w:rFonts w:hint="eastAsia" w:asciiTheme="majorEastAsia" w:hAnsiTheme="majorEastAsia" w:eastAsiaTheme="majorEastAsia"/>
          <w:color w:val="000000" w:themeColor="text1"/>
          <w:sz w:val="24"/>
          <w:szCs w:val="24"/>
        </w:rPr>
        <w:t>得分相同的，按最后报价由低到高顺序排列。得分且报价相同的，按技术商务部分得分由高到低顺序排列。</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1.2采购人根据磋商小组推荐的成交候选人确定成交供应商。采购人确定成交供应商后，采购代理机构将在“</w:t>
      </w:r>
      <w:r>
        <w:rPr>
          <w:rFonts w:hint="eastAsia" w:cs="宋体" w:asciiTheme="majorEastAsia" w:hAnsiTheme="majorEastAsia" w:eastAsiaTheme="majorEastAsia"/>
          <w:color w:val="000000" w:themeColor="text1"/>
          <w:kern w:val="0"/>
          <w:sz w:val="24"/>
          <w:szCs w:val="24"/>
        </w:rPr>
        <w:t>南通汽运实业集团有限公司网站（</w:t>
      </w:r>
      <w:r>
        <w:fldChar w:fldCharType="begin"/>
      </w:r>
      <w:r>
        <w:instrText xml:space="preserve"> HYPERLINK "http://www.ntqyjt.com.cn/" </w:instrText>
      </w:r>
      <w:r>
        <w:fldChar w:fldCharType="separate"/>
      </w:r>
      <w:r>
        <w:rPr>
          <w:rStyle w:val="23"/>
          <w:rFonts w:cs="宋体" w:asciiTheme="majorEastAsia" w:hAnsiTheme="majorEastAsia" w:eastAsiaTheme="majorEastAsia"/>
          <w:kern w:val="0"/>
          <w:sz w:val="24"/>
          <w:szCs w:val="24"/>
        </w:rPr>
        <w:t>http://www.ntqyjt.com.cn/</w:t>
      </w:r>
      <w:r>
        <w:rPr>
          <w:rStyle w:val="23"/>
          <w:rFonts w:cs="宋体" w:asciiTheme="majorEastAsia" w:hAnsiTheme="majorEastAsia" w:eastAsiaTheme="majorEastAsia"/>
          <w:kern w:val="0"/>
          <w:sz w:val="24"/>
          <w:szCs w:val="24"/>
        </w:rPr>
        <w:fldChar w:fldCharType="end"/>
      </w:r>
      <w:r>
        <w:rPr>
          <w:rFonts w:hint="eastAsia" w:cs="宋体" w:asciiTheme="majorEastAsia" w:hAnsiTheme="majorEastAsia" w:eastAsiaTheme="majorEastAsia"/>
          <w:color w:val="000000" w:themeColor="text1"/>
          <w:kern w:val="0"/>
          <w:sz w:val="24"/>
          <w:szCs w:val="24"/>
        </w:rPr>
        <w:t>）</w:t>
      </w:r>
      <w:r>
        <w:rPr>
          <w:rFonts w:cs="宋体" w:asciiTheme="majorEastAsia" w:hAnsiTheme="majorEastAsia" w:eastAsiaTheme="majorEastAsia"/>
          <w:color w:val="000000" w:themeColor="text1"/>
          <w:kern w:val="0"/>
          <w:sz w:val="24"/>
          <w:szCs w:val="24"/>
        </w:rPr>
        <w:t>和</w:t>
      </w:r>
      <w:r>
        <w:rPr>
          <w:rFonts w:hint="eastAsia" w:cs="宋体" w:asciiTheme="majorEastAsia" w:hAnsiTheme="majorEastAsia" w:eastAsiaTheme="majorEastAsia"/>
          <w:color w:val="000000" w:themeColor="text1"/>
          <w:kern w:val="0"/>
          <w:sz w:val="24"/>
          <w:szCs w:val="24"/>
        </w:rPr>
        <w:t>南通农副产品物流有限公司网站（</w:t>
      </w:r>
      <w:r>
        <w:rPr>
          <w:rFonts w:cs="宋体" w:asciiTheme="majorEastAsia" w:hAnsiTheme="majorEastAsia" w:eastAsiaTheme="majorEastAsia"/>
          <w:color w:val="000000" w:themeColor="text1"/>
          <w:kern w:val="0"/>
          <w:sz w:val="24"/>
          <w:szCs w:val="24"/>
        </w:rPr>
        <w:t>http://www.ntnfcp.com/</w:t>
      </w:r>
      <w:r>
        <w:rPr>
          <w:rFonts w:hint="eastAsia" w:cs="宋体" w:asciiTheme="majorEastAsia" w:hAnsiTheme="majorEastAsia" w:eastAsiaTheme="majorEastAsia"/>
          <w:color w:val="000000" w:themeColor="text1"/>
          <w:kern w:val="0"/>
          <w:sz w:val="24"/>
          <w:szCs w:val="24"/>
        </w:rPr>
        <w:t>）</w:t>
      </w:r>
      <w:r>
        <w:rPr>
          <w:rFonts w:hint="eastAsia" w:ascii="宋体" w:hAnsi="宋体" w:eastAsia="宋体" w:cs="Times New Roman"/>
          <w:sz w:val="24"/>
          <w:szCs w:val="24"/>
        </w:rPr>
        <w:t>”发布成交结果公告。</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1.3若有充分证据证明，成交供应商出现下列情况之一的，一经查实，将被取消成交资格：</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（1）提供虚假材料谋取成交的；</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（2）与评审专家、采购人、其他供应商或者采购代理机构工作人员恶意串通的；</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（3）向评审专家、采购人或采购代理机构工作人员行贿或者提供其他不正当利益的；</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（4）恶意竞争，最终总报价明显低于其自身合理成本且又无法提供证明的；</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（5）不满足本磋商文件规定的实质性要求，但在评审过程中又未被磋商小组发现的；</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（6）成交后无正当理由拒不与采购人签订服务合同或者未按照磋商文件确定的事项签订服务合同；</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（7）将服务合同转包；</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（8）法律、法规、规章规定的属于成交无效的其他情形。</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2、质疑处理</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2.1磋商供应商认为磋商文件、采购过程和采购结果使自己的权益受到损害的，可以在知道或应知其权益受到损害之日起七个工作日内，以书面形式向采购人或采购代理机构提出质疑。上述应知其权益受到损害之日，是指：</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对可以质疑的磋商文件提出质疑的，为收到磋商文件之日（</w:t>
      </w:r>
      <w:r>
        <w:rPr>
          <w:rFonts w:hint="eastAsia" w:ascii="宋体" w:hAnsi="宋体" w:eastAsia="宋体" w:cs="Times New Roman"/>
          <w:sz w:val="24"/>
          <w:szCs w:val="24"/>
        </w:rPr>
        <w:t>以获取磋商文件时间为准</w:t>
      </w:r>
      <w:r>
        <w:rPr>
          <w:rFonts w:ascii="宋体" w:hAnsi="宋体" w:eastAsia="宋体" w:cs="Times New Roman"/>
          <w:sz w:val="24"/>
          <w:szCs w:val="24"/>
        </w:rPr>
        <w:t>）或者磋商文件公告期限届满之日；</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对采购过程提出质疑的，为各采购程序环节结束之日；</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对成交结果提出质疑的，为成交结果公告期限届满之日。</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2.2质疑必须由磋商供应商法定代表人或授权代表（响应文件中所确定的）以原件送达的方式提交，未按上述要求提交的质疑函（含传真、电子邮件等）采购代理机构有权不予受理。</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2.3未参加磋商采购活动的供应商或在磋商采购活动中自身权益未受到损害的供应商所提出的质疑不予受理。</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2.4质疑函应当包括下列内容：</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（1）质疑供应商的名称、地址、邮编、联系人、联系电话；</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（2）具体的质疑事项及明确的请求；</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（3）认为自己合法权益受到损害或可能受到损害的相关证据材料；</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（4）提起质疑的日期；</w:t>
      </w:r>
    </w:p>
    <w:p>
      <w:pPr>
        <w:tabs>
          <w:tab w:val="left" w:pos="900"/>
        </w:tabs>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5）质疑函应当署名：质疑人为自然人的，应当由本人签字并附有效身份证明；质疑人为法人或其他组织的，应当由法定代表人签字并加盖单位公章。质疑人委托代理质疑的，应当向采购代理机构提交授权委托书，并载明委托代理的具体权限和事项。</w:t>
      </w:r>
    </w:p>
    <w:p>
      <w:pPr>
        <w:tabs>
          <w:tab w:val="left" w:pos="900"/>
        </w:tabs>
        <w:spacing w:line="360" w:lineRule="auto"/>
        <w:ind w:firstLine="477" w:firstLineChars="199"/>
        <w:rPr>
          <w:rFonts w:ascii="宋体" w:hAnsi="宋体" w:eastAsia="宋体" w:cs="Times New Roman"/>
          <w:sz w:val="24"/>
          <w:szCs w:val="24"/>
        </w:rPr>
      </w:pPr>
      <w:r>
        <w:rPr>
          <w:rFonts w:ascii="宋体" w:hAnsi="宋体" w:eastAsia="宋体" w:cs="Times New Roman"/>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r>
        <w:rPr>
          <w:rFonts w:ascii="宋体" w:hAnsi="宋体" w:eastAsia="宋体" w:cs="Times New Roman"/>
          <w:sz w:val="24"/>
          <w:szCs w:val="24"/>
        </w:rPr>
        <w:br w:type="textWrapping"/>
      </w:r>
      <w:r>
        <w:rPr>
          <w:rFonts w:hint="eastAsia" w:ascii="宋体" w:hAnsi="宋体" w:eastAsia="宋体" w:cs="Times New Roman"/>
          <w:sz w:val="24"/>
          <w:szCs w:val="24"/>
        </w:rPr>
        <w:t xml:space="preserve">    </w:t>
      </w:r>
      <w:r>
        <w:rPr>
          <w:rFonts w:ascii="宋体" w:hAnsi="宋体" w:eastAsia="宋体" w:cs="Times New Roman"/>
          <w:sz w:val="24"/>
          <w:szCs w:val="24"/>
        </w:rPr>
        <w:t>对本次磋商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r>
        <w:rPr>
          <w:rFonts w:ascii="宋体" w:hAnsi="宋体" w:eastAsia="宋体" w:cs="Times New Roman"/>
          <w:sz w:val="24"/>
          <w:szCs w:val="24"/>
        </w:rPr>
        <w:br w:type="textWrapping"/>
      </w:r>
      <w:r>
        <w:rPr>
          <w:rFonts w:hint="eastAsia" w:ascii="宋体" w:hAnsi="宋体" w:eastAsia="宋体" w:cs="Times New Roman"/>
          <w:sz w:val="24"/>
          <w:szCs w:val="24"/>
        </w:rPr>
        <w:t xml:space="preserve">    </w:t>
      </w:r>
      <w:r>
        <w:rPr>
          <w:rFonts w:ascii="宋体" w:hAnsi="宋体" w:eastAsia="宋体" w:cs="Times New Roman"/>
          <w:sz w:val="24"/>
          <w:szCs w:val="24"/>
        </w:rPr>
        <w:t>相关佐证材料要具备客观性、关联性、合法性，无法查实的（如宣传册、媒体报道、猜测、推理等）不能作为佐证材料。</w:t>
      </w:r>
      <w:r>
        <w:rPr>
          <w:rFonts w:ascii="宋体" w:hAnsi="宋体" w:eastAsia="宋体" w:cs="Times New Roman"/>
          <w:sz w:val="24"/>
          <w:szCs w:val="24"/>
        </w:rPr>
        <w:br w:type="textWrapping"/>
      </w:r>
      <w:r>
        <w:rPr>
          <w:rFonts w:hint="eastAsia" w:ascii="宋体" w:hAnsi="宋体" w:eastAsia="宋体" w:cs="Times New Roman"/>
          <w:sz w:val="24"/>
          <w:szCs w:val="24"/>
        </w:rPr>
        <w:t xml:space="preserve">    </w:t>
      </w:r>
      <w:r>
        <w:rPr>
          <w:rFonts w:ascii="宋体" w:hAnsi="宋体" w:eastAsia="宋体" w:cs="Times New Roman"/>
          <w:sz w:val="24"/>
          <w:szCs w:val="24"/>
        </w:rPr>
        <w:t>对不能提供相关佐证材料的、涉及商业秘密的、非书面形式的、非送达的、匿名的《质疑函》将不予受理。</w:t>
      </w:r>
      <w:r>
        <w:rPr>
          <w:rFonts w:ascii="宋体" w:hAnsi="宋体" w:eastAsia="宋体" w:cs="Times New Roman"/>
          <w:sz w:val="24"/>
          <w:szCs w:val="24"/>
        </w:rPr>
        <w:br w:type="textWrapping"/>
      </w:r>
      <w:r>
        <w:rPr>
          <w:rFonts w:hint="eastAsia" w:ascii="宋体" w:hAnsi="宋体" w:eastAsia="宋体" w:cs="Times New Roman"/>
          <w:sz w:val="24"/>
          <w:szCs w:val="24"/>
        </w:rPr>
        <w:t xml:space="preserve">    </w:t>
      </w:r>
      <w:r>
        <w:rPr>
          <w:rFonts w:ascii="宋体" w:hAnsi="宋体" w:eastAsia="宋体" w:cs="Times New Roman"/>
          <w:sz w:val="24"/>
          <w:szCs w:val="24"/>
        </w:rPr>
        <w:t>采购单位或采购代理机构不负责搜集相关佐证材料等工作。</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2.5采购代理机构收到质疑函后，将对质疑的形式和内容进行审查，如质疑函内容、格式不符合规定，采购代理机构将告知质疑人进行补正。</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2.6质疑人应当在法定质疑期限内进行补正并重新提交质疑函，拒不补正或者在法定期限内未重新提交质疑函的，为无效质疑，采购代理机构有权不予受理。</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2.7对于内容、格式符合规定的质疑函，采购代理机构将在收到参加谈判供应商的书面质疑后七个工作日内作出答复，并以书面形式通知质疑供应商和其他相关供应商，答复的内容不涉及商业秘密。</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2.8供应商提出书面质疑必须有理、有据，不得恶意质疑或提交虚假质疑。否则，一经查实，采购代理机构有权依据政府采购的有关规定，报请政府采购监管部门对该供应商进行相应的行政处罚。</w:t>
      </w:r>
    </w:p>
    <w:p>
      <w:pPr>
        <w:tabs>
          <w:tab w:val="left" w:pos="900"/>
        </w:tabs>
        <w:spacing w:line="360" w:lineRule="auto"/>
        <w:ind w:firstLine="477" w:firstLineChars="199"/>
        <w:rPr>
          <w:rFonts w:ascii="宋体" w:hAnsi="宋体" w:eastAsia="宋体" w:cs="Times New Roman"/>
          <w:sz w:val="24"/>
          <w:szCs w:val="24"/>
        </w:rPr>
      </w:pPr>
      <w:r>
        <w:rPr>
          <w:rFonts w:hint="eastAsia" w:ascii="宋体" w:hAnsi="宋体" w:eastAsia="宋体" w:cs="Times New Roman"/>
          <w:sz w:val="24"/>
          <w:szCs w:val="24"/>
        </w:rPr>
        <w:t>备注：</w:t>
      </w:r>
      <w:r>
        <w:rPr>
          <w:rFonts w:ascii="宋体" w:hAnsi="宋体" w:eastAsia="宋体" w:cs="宋体"/>
          <w:kern w:val="0"/>
          <w:sz w:val="24"/>
          <w:szCs w:val="24"/>
        </w:rPr>
        <w:t>格式请在</w:t>
      </w:r>
      <w:r>
        <w:rPr>
          <w:rFonts w:hint="eastAsia" w:ascii="宋体" w:hAnsi="宋体" w:eastAsia="宋体" w:cs="Times New Roman"/>
          <w:sz w:val="24"/>
          <w:szCs w:val="24"/>
        </w:rPr>
        <w:t>南通市公共资源交易网</w:t>
      </w:r>
      <w:r>
        <w:rPr>
          <w:rFonts w:ascii="宋体" w:hAnsi="宋体" w:eastAsia="宋体" w:cs="宋体"/>
          <w:kern w:val="0"/>
          <w:sz w:val="24"/>
          <w:szCs w:val="24"/>
        </w:rPr>
        <w:t>“办事指南—下载专区--质疑相关材料”下载</w:t>
      </w:r>
    </w:p>
    <w:p>
      <w:pPr>
        <w:pStyle w:val="2"/>
      </w:pPr>
    </w:p>
    <w:p>
      <w:pPr>
        <w:pStyle w:val="30"/>
        <w:snapToGrid w:val="0"/>
        <w:spacing w:line="360" w:lineRule="auto"/>
        <w:ind w:firstLine="0" w:firstLineChars="0"/>
        <w:contextualSpacing/>
        <w:rPr>
          <w:rFonts w:asciiTheme="majorEastAsia" w:hAnsiTheme="majorEastAsia" w:eastAsiaTheme="majorEastAsia"/>
          <w:color w:val="000000" w:themeColor="text1"/>
          <w:sz w:val="24"/>
          <w:szCs w:val="24"/>
        </w:rPr>
      </w:pPr>
    </w:p>
    <w:p>
      <w:pPr>
        <w:pStyle w:val="30"/>
        <w:snapToGrid w:val="0"/>
        <w:spacing w:line="300" w:lineRule="auto"/>
        <w:ind w:firstLine="0" w:firstLineChars="0"/>
        <w:contextualSpacing/>
        <w:rPr>
          <w:rFonts w:asciiTheme="majorEastAsia" w:hAnsiTheme="majorEastAsia" w:eastAsiaTheme="majorEastAsia"/>
          <w:color w:val="000000" w:themeColor="text1"/>
          <w:sz w:val="24"/>
        </w:rPr>
      </w:pPr>
    </w:p>
    <w:p>
      <w:pPr>
        <w:pStyle w:val="30"/>
        <w:snapToGrid w:val="0"/>
        <w:spacing w:line="300" w:lineRule="auto"/>
        <w:ind w:firstLine="0" w:firstLineChars="0"/>
        <w:contextualSpacing/>
        <w:rPr>
          <w:rFonts w:asciiTheme="majorEastAsia" w:hAnsiTheme="majorEastAsia" w:eastAsiaTheme="majorEastAsia"/>
          <w:color w:val="000000" w:themeColor="text1"/>
          <w:sz w:val="24"/>
        </w:rPr>
      </w:pPr>
    </w:p>
    <w:p>
      <w:pPr>
        <w:pStyle w:val="30"/>
        <w:snapToGrid w:val="0"/>
        <w:spacing w:line="300" w:lineRule="auto"/>
        <w:ind w:firstLine="0" w:firstLineChars="0"/>
        <w:contextualSpacing/>
        <w:rPr>
          <w:rFonts w:asciiTheme="majorEastAsia" w:hAnsiTheme="majorEastAsia" w:eastAsiaTheme="majorEastAsia"/>
          <w:color w:val="000000" w:themeColor="text1"/>
          <w:sz w:val="24"/>
        </w:rPr>
      </w:pPr>
    </w:p>
    <w:p>
      <w:pPr>
        <w:pStyle w:val="30"/>
        <w:snapToGrid w:val="0"/>
        <w:spacing w:line="300" w:lineRule="auto"/>
        <w:ind w:firstLine="0" w:firstLineChars="0"/>
        <w:contextualSpacing/>
        <w:rPr>
          <w:rFonts w:asciiTheme="majorEastAsia" w:hAnsiTheme="majorEastAsia" w:eastAsiaTheme="majorEastAsia"/>
          <w:color w:val="000000" w:themeColor="text1"/>
          <w:sz w:val="24"/>
        </w:rPr>
      </w:pPr>
    </w:p>
    <w:p>
      <w:pPr>
        <w:pStyle w:val="30"/>
        <w:snapToGrid w:val="0"/>
        <w:spacing w:line="300" w:lineRule="auto"/>
        <w:ind w:firstLine="0" w:firstLineChars="0"/>
        <w:contextualSpacing/>
        <w:rPr>
          <w:rFonts w:asciiTheme="majorEastAsia" w:hAnsiTheme="majorEastAsia" w:eastAsiaTheme="majorEastAsia"/>
          <w:color w:val="000000" w:themeColor="text1"/>
          <w:sz w:val="24"/>
        </w:rPr>
      </w:pPr>
    </w:p>
    <w:p>
      <w:pPr>
        <w:pStyle w:val="30"/>
        <w:snapToGrid w:val="0"/>
        <w:spacing w:line="300" w:lineRule="auto"/>
        <w:ind w:firstLine="0" w:firstLineChars="0"/>
        <w:contextualSpacing/>
        <w:rPr>
          <w:rFonts w:asciiTheme="majorEastAsia" w:hAnsiTheme="majorEastAsia" w:eastAsiaTheme="majorEastAsia"/>
          <w:color w:val="000000" w:themeColor="text1"/>
          <w:sz w:val="24"/>
        </w:rPr>
      </w:pPr>
    </w:p>
    <w:p>
      <w:pPr>
        <w:pStyle w:val="30"/>
        <w:snapToGrid w:val="0"/>
        <w:spacing w:line="300" w:lineRule="auto"/>
        <w:ind w:firstLine="0" w:firstLineChars="0"/>
        <w:contextualSpacing/>
        <w:rPr>
          <w:rFonts w:asciiTheme="majorEastAsia" w:hAnsiTheme="majorEastAsia" w:eastAsiaTheme="majorEastAsia"/>
          <w:color w:val="000000" w:themeColor="text1"/>
          <w:sz w:val="24"/>
        </w:rPr>
      </w:pPr>
    </w:p>
    <w:p>
      <w:pPr>
        <w:pStyle w:val="30"/>
        <w:snapToGrid w:val="0"/>
        <w:spacing w:line="300" w:lineRule="auto"/>
        <w:ind w:firstLine="0" w:firstLineChars="0"/>
        <w:contextualSpacing/>
        <w:rPr>
          <w:rFonts w:asciiTheme="majorEastAsia" w:hAnsiTheme="majorEastAsia" w:eastAsiaTheme="majorEastAsia"/>
          <w:color w:val="000000" w:themeColor="text1"/>
          <w:sz w:val="24"/>
        </w:rPr>
      </w:pPr>
    </w:p>
    <w:p>
      <w:pPr>
        <w:pStyle w:val="11"/>
        <w:jc w:val="center"/>
        <w:outlineLvl w:val="0"/>
        <w:rPr>
          <w:rFonts w:cs="Times New Roman" w:asciiTheme="majorEastAsia" w:hAnsiTheme="majorEastAsia" w:eastAsiaTheme="majorEastAsia"/>
          <w:b/>
          <w:bCs/>
          <w:color w:val="000000" w:themeColor="text1"/>
          <w:kern w:val="44"/>
          <w:sz w:val="44"/>
          <w:szCs w:val="44"/>
        </w:rPr>
      </w:pPr>
      <w:r>
        <w:rPr>
          <w:rFonts w:hint="eastAsia" w:cs="Times New Roman" w:asciiTheme="majorEastAsia" w:hAnsiTheme="majorEastAsia" w:eastAsiaTheme="majorEastAsia"/>
          <w:b/>
          <w:bCs/>
          <w:color w:val="000000" w:themeColor="text1"/>
          <w:kern w:val="44"/>
          <w:sz w:val="44"/>
          <w:szCs w:val="44"/>
        </w:rPr>
        <w:t xml:space="preserve">第五章   </w:t>
      </w:r>
      <w:bookmarkStart w:id="13" w:name="_Toc517717029"/>
      <w:r>
        <w:rPr>
          <w:rFonts w:hint="eastAsia" w:cs="Times New Roman" w:asciiTheme="majorEastAsia" w:hAnsiTheme="majorEastAsia" w:eastAsiaTheme="majorEastAsia"/>
          <w:b/>
          <w:bCs/>
          <w:color w:val="000000" w:themeColor="text1"/>
          <w:kern w:val="44"/>
          <w:sz w:val="44"/>
          <w:szCs w:val="44"/>
        </w:rPr>
        <w:t>合同条款及格式</w:t>
      </w:r>
    </w:p>
    <w:p>
      <w:pPr>
        <w:spacing w:line="360" w:lineRule="auto"/>
        <w:ind w:firstLine="482" w:firstLineChars="200"/>
        <w:rPr>
          <w:rFonts w:ascii="宋体" w:hAnsi="宋体" w:eastAsia="宋体" w:cs="宋体"/>
          <w:b/>
          <w:color w:val="000000"/>
          <w:kern w:val="0"/>
          <w:sz w:val="24"/>
          <w:szCs w:val="24"/>
        </w:rPr>
      </w:pPr>
    </w:p>
    <w:p>
      <w:pPr>
        <w:spacing w:line="360" w:lineRule="auto"/>
        <w:ind w:firstLine="482" w:firstLineChars="200"/>
        <w:rPr>
          <w:rFonts w:ascii="宋体" w:hAnsi="宋体" w:eastAsia="宋体" w:cs="宋体"/>
          <w:b/>
          <w:color w:val="000000"/>
          <w:kern w:val="0"/>
          <w:sz w:val="24"/>
          <w:szCs w:val="24"/>
        </w:rPr>
      </w:pPr>
    </w:p>
    <w:p>
      <w:pPr>
        <w:spacing w:line="360" w:lineRule="auto"/>
        <w:ind w:firstLine="482" w:firstLineChars="200"/>
        <w:rPr>
          <w:rFonts w:ascii="宋体" w:hAnsi="宋体" w:eastAsia="宋体" w:cs="宋体"/>
          <w:b/>
          <w:color w:val="000000"/>
          <w:kern w:val="0"/>
          <w:sz w:val="24"/>
          <w:szCs w:val="24"/>
        </w:rPr>
      </w:pPr>
    </w:p>
    <w:p>
      <w:pPr>
        <w:spacing w:line="360" w:lineRule="auto"/>
        <w:ind w:firstLine="482" w:firstLineChars="200"/>
        <w:rPr>
          <w:rFonts w:ascii="宋体" w:hAnsi="宋体" w:eastAsia="宋体" w:cs="宋体"/>
          <w:b/>
          <w:color w:val="000000"/>
          <w:kern w:val="0"/>
          <w:sz w:val="24"/>
          <w:szCs w:val="24"/>
        </w:rPr>
      </w:pPr>
    </w:p>
    <w:p>
      <w:pPr>
        <w:spacing w:line="360" w:lineRule="auto"/>
        <w:rPr>
          <w:rFonts w:ascii="宋体" w:hAnsi="宋体" w:eastAsia="宋体" w:cs="宋体"/>
          <w:b/>
          <w:color w:val="000000"/>
          <w:kern w:val="0"/>
          <w:sz w:val="24"/>
          <w:szCs w:val="24"/>
        </w:rPr>
      </w:pPr>
    </w:p>
    <w:p>
      <w:pPr>
        <w:spacing w:line="360" w:lineRule="auto"/>
        <w:jc w:val="center"/>
        <w:rPr>
          <w:rFonts w:ascii="宋体" w:hAnsi="宋体" w:eastAsia="宋体" w:cs="宋体"/>
          <w:b/>
          <w:color w:val="000000"/>
          <w:kern w:val="0"/>
          <w:sz w:val="52"/>
          <w:szCs w:val="52"/>
        </w:rPr>
      </w:pPr>
      <w:r>
        <w:rPr>
          <w:rFonts w:hint="eastAsia" w:ascii="宋体" w:hAnsi="宋体" w:eastAsia="宋体" w:cs="宋体"/>
          <w:b/>
          <w:color w:val="000000"/>
          <w:kern w:val="0"/>
          <w:sz w:val="52"/>
          <w:szCs w:val="52"/>
        </w:rPr>
        <w:t>南通市电梯日常维护保养合同</w:t>
      </w:r>
    </w:p>
    <w:p>
      <w:pPr>
        <w:spacing w:line="360" w:lineRule="auto"/>
        <w:jc w:val="center"/>
        <w:rPr>
          <w:rFonts w:ascii="宋体" w:hAnsi="宋体" w:eastAsia="宋体" w:cs="宋体"/>
          <w:b/>
          <w:color w:val="000000"/>
          <w:kern w:val="0"/>
          <w:sz w:val="32"/>
          <w:szCs w:val="32"/>
        </w:rPr>
      </w:pPr>
    </w:p>
    <w:p>
      <w:pPr>
        <w:spacing w:line="360" w:lineRule="auto"/>
        <w:ind w:firstLine="482" w:firstLineChars="200"/>
        <w:jc w:val="center"/>
        <w:rPr>
          <w:rFonts w:ascii="宋体" w:hAnsi="宋体" w:eastAsia="宋体" w:cs="宋体"/>
          <w:b/>
          <w:color w:val="000000"/>
          <w:kern w:val="0"/>
          <w:sz w:val="24"/>
          <w:szCs w:val="24"/>
        </w:rPr>
      </w:pPr>
    </w:p>
    <w:p>
      <w:pPr>
        <w:spacing w:line="360" w:lineRule="auto"/>
        <w:ind w:firstLine="482" w:firstLineChars="200"/>
        <w:jc w:val="center"/>
        <w:rPr>
          <w:rFonts w:ascii="宋体" w:hAnsi="宋体" w:eastAsia="宋体" w:cs="宋体"/>
          <w:b/>
          <w:color w:val="000000"/>
          <w:kern w:val="0"/>
          <w:sz w:val="24"/>
          <w:szCs w:val="24"/>
        </w:rPr>
      </w:pPr>
    </w:p>
    <w:p>
      <w:pPr>
        <w:spacing w:line="360" w:lineRule="auto"/>
        <w:ind w:firstLine="482" w:firstLineChars="200"/>
        <w:jc w:val="center"/>
        <w:rPr>
          <w:rFonts w:ascii="宋体" w:hAnsi="宋体" w:eastAsia="宋体" w:cs="宋体"/>
          <w:b/>
          <w:color w:val="000000"/>
          <w:kern w:val="0"/>
          <w:sz w:val="24"/>
          <w:szCs w:val="24"/>
        </w:rPr>
      </w:pPr>
    </w:p>
    <w:p>
      <w:pPr>
        <w:spacing w:line="360" w:lineRule="auto"/>
        <w:ind w:firstLine="482" w:firstLineChars="200"/>
        <w:jc w:val="center"/>
        <w:rPr>
          <w:rFonts w:ascii="宋体" w:hAnsi="宋体" w:eastAsia="宋体" w:cs="宋体"/>
          <w:b/>
          <w:color w:val="000000"/>
          <w:kern w:val="0"/>
          <w:sz w:val="24"/>
          <w:szCs w:val="24"/>
        </w:rPr>
      </w:pPr>
    </w:p>
    <w:p>
      <w:pPr>
        <w:spacing w:line="360" w:lineRule="auto"/>
        <w:ind w:firstLine="482" w:firstLineChars="200"/>
        <w:jc w:val="center"/>
        <w:rPr>
          <w:rFonts w:ascii="宋体" w:hAnsi="宋体" w:eastAsia="宋体" w:cs="宋体"/>
          <w:b/>
          <w:color w:val="000000"/>
          <w:kern w:val="0"/>
          <w:sz w:val="24"/>
          <w:szCs w:val="24"/>
        </w:rPr>
      </w:pPr>
    </w:p>
    <w:p>
      <w:pPr>
        <w:spacing w:line="360" w:lineRule="auto"/>
        <w:ind w:firstLine="1066" w:firstLineChars="295"/>
        <w:rPr>
          <w:rFonts w:ascii="宋体" w:hAnsi="宋体" w:eastAsia="宋体" w:cs="宋体"/>
          <w:b/>
          <w:color w:val="000000"/>
          <w:kern w:val="0"/>
          <w:sz w:val="36"/>
          <w:szCs w:val="36"/>
        </w:rPr>
      </w:pPr>
    </w:p>
    <w:p>
      <w:pPr>
        <w:spacing w:line="360" w:lineRule="auto"/>
        <w:ind w:firstLine="1066" w:firstLineChars="295"/>
        <w:rPr>
          <w:rFonts w:ascii="宋体" w:hAnsi="宋体" w:eastAsia="宋体" w:cs="宋体"/>
          <w:b/>
          <w:color w:val="000000"/>
          <w:kern w:val="0"/>
          <w:sz w:val="36"/>
          <w:szCs w:val="36"/>
          <w:u w:val="single"/>
        </w:rPr>
      </w:pPr>
    </w:p>
    <w:p>
      <w:pPr>
        <w:spacing w:line="360" w:lineRule="auto"/>
        <w:ind w:firstLine="842" w:firstLineChars="295"/>
        <w:rPr>
          <w:rFonts w:ascii="宋体" w:hAnsi="宋体" w:eastAsia="宋体" w:cs="宋体"/>
          <w:b/>
          <w:color w:val="000000"/>
          <w:spacing w:val="-38"/>
          <w:kern w:val="0"/>
          <w:sz w:val="36"/>
          <w:szCs w:val="36"/>
          <w:u w:val="single"/>
        </w:rPr>
      </w:pPr>
    </w:p>
    <w:p>
      <w:pPr>
        <w:spacing w:line="360" w:lineRule="auto"/>
        <w:ind w:firstLine="1626" w:firstLineChars="450"/>
        <w:rPr>
          <w:rFonts w:ascii="宋体" w:hAnsi="宋体" w:eastAsia="宋体" w:cs="宋体"/>
          <w:b/>
          <w:color w:val="000000"/>
          <w:kern w:val="0"/>
          <w:sz w:val="36"/>
          <w:szCs w:val="36"/>
        </w:rPr>
      </w:pPr>
    </w:p>
    <w:p>
      <w:pPr>
        <w:spacing w:line="360" w:lineRule="auto"/>
        <w:ind w:firstLine="1066" w:firstLineChars="295"/>
        <w:rPr>
          <w:rFonts w:ascii="宋体" w:hAnsi="宋体" w:eastAsia="宋体" w:cs="宋体"/>
          <w:b/>
          <w:color w:val="000000"/>
          <w:spacing w:val="-38"/>
          <w:kern w:val="0"/>
          <w:sz w:val="36"/>
          <w:szCs w:val="36"/>
          <w:u w:val="single"/>
        </w:rPr>
      </w:pPr>
      <w:r>
        <w:rPr>
          <w:rFonts w:hint="eastAsia" w:ascii="宋体" w:hAnsi="宋体" w:eastAsia="宋体" w:cs="宋体"/>
          <w:b/>
          <w:color w:val="000000"/>
          <w:kern w:val="0"/>
          <w:sz w:val="36"/>
          <w:szCs w:val="36"/>
        </w:rPr>
        <w:t>使用单位：</w:t>
      </w:r>
      <w:r>
        <w:rPr>
          <w:rFonts w:hint="eastAsia" w:ascii="宋体" w:hAnsi="宋体" w:eastAsia="宋体" w:cs="宋体"/>
          <w:b/>
          <w:color w:val="000000"/>
          <w:kern w:val="0"/>
          <w:sz w:val="36"/>
          <w:szCs w:val="36"/>
          <w:u w:val="single"/>
        </w:rPr>
        <w:t>南通农副产品物流有限公司</w:t>
      </w:r>
    </w:p>
    <w:p>
      <w:pPr>
        <w:spacing w:line="360" w:lineRule="auto"/>
        <w:ind w:firstLine="1626" w:firstLineChars="450"/>
        <w:rPr>
          <w:rFonts w:ascii="宋体" w:hAnsi="宋体" w:eastAsia="宋体" w:cs="宋体"/>
          <w:b/>
          <w:color w:val="000000"/>
          <w:kern w:val="0"/>
          <w:sz w:val="36"/>
          <w:szCs w:val="36"/>
        </w:rPr>
      </w:pPr>
    </w:p>
    <w:p>
      <w:pPr>
        <w:spacing w:line="360" w:lineRule="auto"/>
        <w:ind w:firstLine="1066" w:firstLineChars="295"/>
        <w:rPr>
          <w:rFonts w:ascii="宋体" w:hAnsi="宋体" w:eastAsia="宋体" w:cs="宋体"/>
          <w:b/>
          <w:color w:val="000000"/>
          <w:kern w:val="0"/>
          <w:sz w:val="36"/>
          <w:szCs w:val="36"/>
        </w:rPr>
      </w:pPr>
      <w:r>
        <w:rPr>
          <w:rFonts w:hint="eastAsia" w:ascii="宋体" w:hAnsi="宋体" w:eastAsia="宋体" w:cs="宋体"/>
          <w:b/>
          <w:color w:val="000000"/>
          <w:kern w:val="0"/>
          <w:sz w:val="36"/>
          <w:szCs w:val="36"/>
        </w:rPr>
        <w:t>维保单位：</w:t>
      </w:r>
      <w:r>
        <w:rPr>
          <w:rFonts w:hint="eastAsia" w:ascii="宋体" w:hAnsi="宋体" w:eastAsia="宋体" w:cs="宋体"/>
          <w:b/>
          <w:color w:val="000000"/>
          <w:kern w:val="0"/>
          <w:sz w:val="36"/>
          <w:szCs w:val="36"/>
          <w:u w:val="single"/>
        </w:rPr>
        <w:t xml:space="preserve">                        </w:t>
      </w:r>
    </w:p>
    <w:p>
      <w:pPr>
        <w:spacing w:line="360" w:lineRule="auto"/>
        <w:ind w:firstLine="482" w:firstLineChars="200"/>
        <w:jc w:val="center"/>
        <w:rPr>
          <w:rFonts w:ascii="宋体" w:hAnsi="宋体" w:eastAsia="宋体" w:cs="宋体"/>
          <w:b/>
          <w:color w:val="000000"/>
          <w:kern w:val="0"/>
          <w:sz w:val="24"/>
          <w:szCs w:val="24"/>
        </w:rPr>
      </w:pPr>
    </w:p>
    <w:p>
      <w:pPr>
        <w:spacing w:line="360" w:lineRule="auto"/>
        <w:ind w:firstLine="482" w:firstLineChars="200"/>
        <w:jc w:val="center"/>
        <w:rPr>
          <w:rFonts w:ascii="宋体" w:hAnsi="宋体" w:eastAsia="宋体" w:cs="宋体"/>
          <w:b/>
          <w:color w:val="000000"/>
          <w:kern w:val="0"/>
          <w:sz w:val="24"/>
          <w:szCs w:val="24"/>
        </w:rPr>
      </w:pPr>
    </w:p>
    <w:p>
      <w:pPr>
        <w:spacing w:line="360" w:lineRule="auto"/>
        <w:ind w:firstLine="482" w:firstLineChars="200"/>
        <w:jc w:val="center"/>
        <w:rPr>
          <w:rFonts w:ascii="宋体" w:hAnsi="宋体" w:eastAsia="宋体" w:cs="宋体"/>
          <w:b/>
          <w:color w:val="000000"/>
          <w:kern w:val="0"/>
          <w:sz w:val="24"/>
          <w:szCs w:val="24"/>
        </w:rPr>
      </w:pPr>
    </w:p>
    <w:p>
      <w:pPr>
        <w:spacing w:line="360" w:lineRule="auto"/>
        <w:rPr>
          <w:rFonts w:ascii="宋体" w:hAnsi="宋体" w:eastAsia="宋体" w:cs="宋体"/>
          <w:b/>
          <w:color w:val="000000"/>
          <w:kern w:val="0"/>
          <w:sz w:val="24"/>
          <w:szCs w:val="24"/>
        </w:rPr>
      </w:pPr>
    </w:p>
    <w:p>
      <w:pPr>
        <w:spacing w:line="360" w:lineRule="auto"/>
        <w:jc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南通市质量技术监督局</w:t>
      </w:r>
    </w:p>
    <w:p>
      <w:pPr>
        <w:spacing w:line="360" w:lineRule="auto"/>
        <w:ind w:firstLine="480" w:firstLineChars="200"/>
        <w:jc w:val="center"/>
        <w:rPr>
          <w:rFonts w:ascii="宋体" w:hAnsi="宋体" w:eastAsia="宋体" w:cs="宋体"/>
          <w:color w:val="000000"/>
          <w:kern w:val="0"/>
          <w:sz w:val="24"/>
          <w:szCs w:val="24"/>
        </w:rPr>
      </w:pPr>
    </w:p>
    <w:p>
      <w:pPr>
        <w:spacing w:line="360" w:lineRule="auto"/>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使用说明</w:t>
      </w:r>
    </w:p>
    <w:p>
      <w:pPr>
        <w:spacing w:line="360" w:lineRule="auto"/>
        <w:ind w:firstLine="480" w:firstLineChars="200"/>
        <w:rPr>
          <w:rFonts w:ascii="宋体" w:hAnsi="宋体" w:eastAsia="宋体" w:cs="宋体"/>
          <w:color w:val="000000"/>
          <w:kern w:val="0"/>
          <w:sz w:val="24"/>
          <w:szCs w:val="24"/>
        </w:rPr>
      </w:pP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1、适用范围：本合同适用于乘客电梯、载货电梯、自动扶梯与自动人行道的日常维护保养。</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黑体"/>
          <w:color w:val="000000"/>
          <w:kern w:val="0"/>
          <w:sz w:val="24"/>
          <w:szCs w:val="24"/>
        </w:rPr>
        <w:t>2、维保单位</w:t>
      </w:r>
      <w:r>
        <w:rPr>
          <w:rFonts w:hint="eastAsia" w:ascii="宋体" w:hAnsi="宋体" w:eastAsia="宋体" w:cs="ºÚÌå"/>
          <w:color w:val="000000"/>
          <w:kern w:val="0"/>
          <w:sz w:val="24"/>
          <w:szCs w:val="24"/>
        </w:rPr>
        <w:t>：</w:t>
      </w:r>
      <w:r>
        <w:rPr>
          <w:rFonts w:hint="eastAsia" w:ascii="宋体" w:hAnsi="宋体" w:eastAsia="宋体" w:cs="宋体"/>
          <w:color w:val="000000"/>
          <w:kern w:val="0"/>
          <w:sz w:val="24"/>
          <w:szCs w:val="24"/>
        </w:rPr>
        <w:t>具备特种设备安全监督管理部门核发的许可证，从事电梯制造、安装、改造、维修的单位。</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黑体"/>
          <w:color w:val="000000"/>
          <w:kern w:val="0"/>
          <w:sz w:val="24"/>
          <w:szCs w:val="24"/>
        </w:rPr>
        <w:t>3、日常维护保养</w:t>
      </w:r>
      <w:r>
        <w:rPr>
          <w:rFonts w:hint="eastAsia" w:ascii="宋体" w:hAnsi="宋体" w:eastAsia="宋体" w:cs="ºÚÌå"/>
          <w:color w:val="000000"/>
          <w:kern w:val="0"/>
          <w:sz w:val="24"/>
          <w:szCs w:val="24"/>
        </w:rPr>
        <w:t>：</w:t>
      </w:r>
      <w:r>
        <w:rPr>
          <w:rFonts w:hint="eastAsia" w:ascii="宋体" w:hAnsi="宋体" w:eastAsia="宋体" w:cs="宋体"/>
          <w:color w:val="000000"/>
          <w:kern w:val="0"/>
          <w:sz w:val="24"/>
          <w:szCs w:val="24"/>
        </w:rPr>
        <w:t>对电梯进行的清洁、润滑、调整、更换易损件和检查等日常维护或保养性工作。其中清洁、润滑不包括部件的解体，调整和更换易损件不会改变任何电梯性能参数。</w:t>
      </w:r>
    </w:p>
    <w:p>
      <w:pPr>
        <w:spacing w:line="360" w:lineRule="auto"/>
        <w:rPr>
          <w:rFonts w:ascii="宋体" w:hAnsi="宋体" w:eastAsia="宋体" w:cs="宋体"/>
          <w:color w:val="000000"/>
          <w:kern w:val="0"/>
          <w:sz w:val="24"/>
          <w:szCs w:val="24"/>
        </w:rPr>
      </w:pPr>
      <w:r>
        <w:rPr>
          <w:rFonts w:hint="eastAsia" w:ascii="宋体" w:hAnsi="宋体" w:eastAsia="宋体" w:cs="Arial"/>
          <w:color w:val="000000"/>
          <w:kern w:val="0"/>
          <w:sz w:val="24"/>
          <w:szCs w:val="24"/>
        </w:rPr>
        <w:t xml:space="preserve">     </w:t>
      </w:r>
    </w:p>
    <w:p>
      <w:pPr>
        <w:spacing w:line="360" w:lineRule="auto"/>
        <w:rPr>
          <w:rFonts w:ascii="宋体" w:hAnsi="宋体" w:eastAsia="宋体" w:cs="Times New Roman"/>
          <w:color w:val="000000"/>
          <w:sz w:val="24"/>
          <w:szCs w:val="24"/>
        </w:rPr>
      </w:pPr>
    </w:p>
    <w:p>
      <w:pPr>
        <w:spacing w:line="360" w:lineRule="auto"/>
        <w:jc w:val="center"/>
        <w:rPr>
          <w:rFonts w:ascii="宋体" w:hAnsi="宋体" w:eastAsia="宋体" w:cs="宋体"/>
          <w:b/>
          <w:color w:val="000000"/>
          <w:kern w:val="0"/>
          <w:sz w:val="32"/>
          <w:szCs w:val="32"/>
        </w:rPr>
      </w:pPr>
    </w:p>
    <w:p>
      <w:pPr>
        <w:spacing w:line="360" w:lineRule="auto"/>
        <w:jc w:val="center"/>
        <w:rPr>
          <w:rFonts w:ascii="宋体" w:hAnsi="宋体" w:eastAsia="宋体" w:cs="宋体"/>
          <w:b/>
          <w:color w:val="000000"/>
          <w:kern w:val="0"/>
          <w:sz w:val="32"/>
          <w:szCs w:val="32"/>
        </w:rPr>
      </w:pPr>
    </w:p>
    <w:p>
      <w:pPr>
        <w:spacing w:line="360" w:lineRule="auto"/>
        <w:jc w:val="center"/>
        <w:rPr>
          <w:rFonts w:ascii="宋体" w:hAnsi="宋体" w:eastAsia="宋体" w:cs="宋体"/>
          <w:b/>
          <w:color w:val="000000"/>
          <w:kern w:val="0"/>
          <w:sz w:val="32"/>
          <w:szCs w:val="32"/>
        </w:rPr>
      </w:pPr>
    </w:p>
    <w:p>
      <w:pPr>
        <w:spacing w:line="360" w:lineRule="auto"/>
        <w:jc w:val="center"/>
        <w:rPr>
          <w:rFonts w:ascii="宋体" w:hAnsi="宋体" w:eastAsia="宋体" w:cs="宋体"/>
          <w:b/>
          <w:color w:val="000000"/>
          <w:kern w:val="0"/>
          <w:sz w:val="32"/>
          <w:szCs w:val="32"/>
        </w:rPr>
      </w:pPr>
    </w:p>
    <w:p>
      <w:pPr>
        <w:spacing w:line="360" w:lineRule="auto"/>
        <w:jc w:val="center"/>
        <w:rPr>
          <w:rFonts w:ascii="宋体" w:hAnsi="宋体" w:eastAsia="宋体" w:cs="宋体"/>
          <w:b/>
          <w:color w:val="000000"/>
          <w:kern w:val="0"/>
          <w:sz w:val="32"/>
          <w:szCs w:val="32"/>
        </w:rPr>
      </w:pPr>
    </w:p>
    <w:p>
      <w:pPr>
        <w:spacing w:line="360" w:lineRule="auto"/>
        <w:jc w:val="center"/>
        <w:rPr>
          <w:rFonts w:ascii="宋体" w:hAnsi="宋体" w:eastAsia="宋体" w:cs="宋体"/>
          <w:b/>
          <w:color w:val="000000"/>
          <w:kern w:val="0"/>
          <w:sz w:val="32"/>
          <w:szCs w:val="32"/>
        </w:rPr>
      </w:pPr>
    </w:p>
    <w:p>
      <w:pPr>
        <w:spacing w:line="360" w:lineRule="auto"/>
        <w:jc w:val="center"/>
        <w:rPr>
          <w:rFonts w:ascii="宋体" w:hAnsi="宋体" w:eastAsia="宋体" w:cs="宋体"/>
          <w:b/>
          <w:color w:val="000000"/>
          <w:kern w:val="0"/>
          <w:sz w:val="32"/>
          <w:szCs w:val="32"/>
        </w:rPr>
      </w:pPr>
    </w:p>
    <w:p>
      <w:pPr>
        <w:spacing w:line="360" w:lineRule="auto"/>
        <w:jc w:val="center"/>
        <w:rPr>
          <w:rFonts w:ascii="宋体" w:hAnsi="宋体" w:eastAsia="宋体" w:cs="宋体"/>
          <w:b/>
          <w:color w:val="000000"/>
          <w:kern w:val="0"/>
          <w:sz w:val="32"/>
          <w:szCs w:val="32"/>
        </w:rPr>
      </w:pPr>
      <w:r>
        <w:rPr>
          <w:rFonts w:ascii="宋体" w:hAnsi="宋体" w:eastAsia="宋体" w:cs="宋体"/>
          <w:b/>
          <w:color w:val="000000"/>
          <w:kern w:val="0"/>
          <w:sz w:val="32"/>
          <w:szCs w:val="32"/>
        </w:rPr>
        <w:br w:type="page"/>
      </w:r>
      <w:r>
        <w:rPr>
          <w:rFonts w:hint="eastAsia" w:ascii="宋体" w:hAnsi="宋体" w:eastAsia="宋体" w:cs="宋体"/>
          <w:b/>
          <w:color w:val="000000"/>
          <w:kern w:val="0"/>
          <w:sz w:val="32"/>
          <w:szCs w:val="32"/>
        </w:rPr>
        <w:t>南通市电梯日常维护保养合同</w:t>
      </w:r>
    </w:p>
    <w:p>
      <w:pPr>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使用单位（甲方）：</w:t>
      </w:r>
      <w:r>
        <w:rPr>
          <w:rFonts w:hint="eastAsia" w:ascii="宋体" w:hAnsi="宋体" w:eastAsia="宋体" w:cs="宋体"/>
          <w:b/>
          <w:color w:val="000000"/>
          <w:kern w:val="0"/>
          <w:sz w:val="24"/>
          <w:szCs w:val="24"/>
          <w:u w:val="single"/>
        </w:rPr>
        <w:t>南通农副产品物流有限公司</w:t>
      </w:r>
    </w:p>
    <w:p>
      <w:pPr>
        <w:spacing w:line="360" w:lineRule="auto"/>
        <w:jc w:val="left"/>
        <w:rPr>
          <w:rFonts w:ascii="宋体" w:hAnsi="宋体" w:eastAsia="宋体" w:cs="宋体"/>
          <w:color w:val="000000"/>
          <w:kern w:val="0"/>
          <w:sz w:val="24"/>
          <w:szCs w:val="24"/>
          <w:u w:val="single"/>
        </w:rPr>
      </w:pPr>
      <w:r>
        <w:rPr>
          <w:rFonts w:hint="eastAsia" w:ascii="宋体" w:hAnsi="宋体" w:eastAsia="宋体" w:cs="宋体"/>
          <w:b/>
          <w:color w:val="000000"/>
          <w:kern w:val="0"/>
          <w:sz w:val="24"/>
          <w:szCs w:val="24"/>
        </w:rPr>
        <w:t>维保单位（乙方）：</w:t>
      </w:r>
      <w:r>
        <w:rPr>
          <w:rFonts w:hint="eastAsia" w:ascii="宋体" w:hAnsi="宋体" w:eastAsia="宋体" w:cs="宋体"/>
          <w:b/>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依照《中华人民共和国合同法》、《特种设备安全监察条例》、</w:t>
      </w:r>
      <w:r>
        <w:rPr>
          <w:rFonts w:hint="eastAsia" w:ascii="宋体" w:hAnsi="宋体" w:eastAsia="宋体" w:cs="Times New Roman"/>
          <w:color w:val="000000"/>
          <w:kern w:val="0"/>
          <w:sz w:val="24"/>
          <w:szCs w:val="24"/>
        </w:rPr>
        <w:t>《电梯使用管理与维护保养规则》（TSGT5002-2017</w:t>
      </w:r>
      <w:r>
        <w:rPr>
          <w:rFonts w:ascii="宋体" w:hAnsi="宋体" w:eastAsia="宋体" w:cs="Times New Roman"/>
          <w:color w:val="000000"/>
          <w:kern w:val="0"/>
          <w:sz w:val="24"/>
          <w:szCs w:val="24"/>
        </w:rPr>
        <w:t>）</w:t>
      </w:r>
      <w:r>
        <w:rPr>
          <w:rFonts w:hint="eastAsia" w:ascii="宋体" w:hAnsi="宋体" w:eastAsia="宋体" w:cs="宋体"/>
          <w:color w:val="000000"/>
          <w:kern w:val="0"/>
          <w:sz w:val="24"/>
          <w:szCs w:val="24"/>
        </w:rPr>
        <w:t>及其他有关规定，甲乙双方遵循平等、自愿、公平和诚实信用的原则，就南通农副产品物流中心电梯日常维护保养服务的有关事宜协商订立本合同。</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第一条  日常维护保养的电梯</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甲乙双方约定，由乙方为《电梯维护保养及金额明细表》（见附件一）中列明的甲方使用、管理的电梯提供日常的维护保养服务。</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第二条  日常维护保养内容</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乙方应当按照</w:t>
      </w:r>
      <w:r>
        <w:rPr>
          <w:rFonts w:hint="eastAsia" w:ascii="宋体" w:hAnsi="宋体" w:eastAsia="宋体" w:cs="Times New Roman"/>
          <w:color w:val="000000"/>
          <w:kern w:val="0"/>
          <w:sz w:val="24"/>
          <w:szCs w:val="24"/>
        </w:rPr>
        <w:t>《电梯使用管理与维护保养规则》（TSGT5002-2017</w:t>
      </w:r>
      <w:r>
        <w:rPr>
          <w:rFonts w:ascii="宋体" w:hAnsi="宋体" w:eastAsia="宋体" w:cs="Times New Roman"/>
          <w:color w:val="000000"/>
          <w:kern w:val="0"/>
          <w:sz w:val="24"/>
          <w:szCs w:val="24"/>
        </w:rPr>
        <w:t>）</w:t>
      </w:r>
      <w:r>
        <w:rPr>
          <w:rFonts w:hint="eastAsia" w:ascii="宋体" w:hAnsi="宋体" w:eastAsia="宋体" w:cs="宋体"/>
          <w:color w:val="000000"/>
          <w:kern w:val="0"/>
          <w:sz w:val="24"/>
          <w:szCs w:val="24"/>
        </w:rPr>
        <w:t>完成半月、月、季度、半年、年保养项目，并做好维护保养记录。</w:t>
      </w:r>
    </w:p>
    <w:p>
      <w:pPr>
        <w:spacing w:line="360" w:lineRule="auto"/>
        <w:rPr>
          <w:rFonts w:ascii="宋体" w:hAnsi="宋体" w:eastAsia="宋体" w:cs="宋体"/>
          <w:b/>
          <w:color w:val="000000"/>
          <w:kern w:val="0"/>
          <w:sz w:val="24"/>
          <w:szCs w:val="24"/>
        </w:rPr>
      </w:pPr>
      <w:r>
        <w:rPr>
          <w:rFonts w:hint="eastAsia" w:ascii="宋体" w:hAnsi="宋体" w:eastAsia="宋体" w:cs="ËÎÌå"/>
          <w:b/>
          <w:color w:val="000000"/>
          <w:kern w:val="0"/>
          <w:sz w:val="24"/>
          <w:szCs w:val="24"/>
        </w:rPr>
        <w:t xml:space="preserve">第三条  </w:t>
      </w:r>
      <w:r>
        <w:rPr>
          <w:rFonts w:hint="eastAsia" w:ascii="宋体" w:hAnsi="宋体" w:eastAsia="宋体" w:cs="宋体"/>
          <w:b/>
          <w:color w:val="000000"/>
          <w:kern w:val="0"/>
          <w:sz w:val="24"/>
          <w:szCs w:val="24"/>
        </w:rPr>
        <w:t>日常维护保养标准</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实施日常维护保养后的电梯应当符合相应的国家标准和安全技术规范，并且处于正常的运行状态。</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除上述标准外，还应当满足如下要求：</w:t>
      </w:r>
      <w:r>
        <w:rPr>
          <w:rFonts w:hint="eastAsia" w:ascii="宋体" w:hAnsi="宋体" w:eastAsia="宋体" w:cs="宋体"/>
          <w:color w:val="000000"/>
          <w:kern w:val="0"/>
          <w:sz w:val="24"/>
          <w:szCs w:val="24"/>
          <w:u w:val="single"/>
        </w:rPr>
        <w:t>代甲方进行按照国家、省、市电梯安全技术规范要求的年检报检工作。</w:t>
      </w:r>
    </w:p>
    <w:p>
      <w:pPr>
        <w:spacing w:line="360" w:lineRule="auto"/>
        <w:rPr>
          <w:rFonts w:ascii="宋体" w:hAnsi="宋体" w:eastAsia="宋体" w:cs="Times New Roman"/>
          <w:b/>
          <w:color w:val="000000"/>
          <w:kern w:val="0"/>
          <w:sz w:val="24"/>
          <w:szCs w:val="24"/>
        </w:rPr>
      </w:pPr>
      <w:r>
        <w:rPr>
          <w:rFonts w:hint="eastAsia" w:ascii="宋体" w:hAnsi="宋体" w:eastAsia="宋体" w:cs="ËÎÌå"/>
          <w:b/>
          <w:color w:val="000000"/>
          <w:kern w:val="0"/>
          <w:sz w:val="24"/>
          <w:szCs w:val="24"/>
        </w:rPr>
        <w:t xml:space="preserve">第四条  </w:t>
      </w:r>
      <w:r>
        <w:rPr>
          <w:rFonts w:hint="eastAsia" w:ascii="宋体" w:hAnsi="宋体" w:eastAsia="宋体" w:cs="Times New Roman"/>
          <w:b/>
          <w:color w:val="000000"/>
          <w:kern w:val="0"/>
          <w:sz w:val="24"/>
          <w:szCs w:val="24"/>
        </w:rPr>
        <w:t>日常维护保养期限</w:t>
      </w:r>
    </w:p>
    <w:p>
      <w:pPr>
        <w:spacing w:line="360" w:lineRule="auto"/>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本合同</w:t>
      </w:r>
      <w:r>
        <w:rPr>
          <w:rFonts w:hint="eastAsia" w:ascii="宋体" w:hAnsi="宋体" w:eastAsia="宋体" w:cs="宋体"/>
          <w:color w:val="000000"/>
          <w:kern w:val="0"/>
          <w:sz w:val="24"/>
          <w:szCs w:val="24"/>
        </w:rPr>
        <w:t>南通农副产品物流中心电梯</w:t>
      </w:r>
      <w:r>
        <w:rPr>
          <w:rFonts w:hint="eastAsia" w:ascii="宋体" w:hAnsi="宋体" w:eastAsia="宋体" w:cs="Times New Roman"/>
          <w:color w:val="000000"/>
          <w:kern w:val="0"/>
          <w:sz w:val="24"/>
          <w:szCs w:val="24"/>
        </w:rPr>
        <w:t>维保期限</w:t>
      </w:r>
      <w:r>
        <w:rPr>
          <w:rFonts w:hint="eastAsia" w:ascii="宋体" w:hAnsi="宋体" w:eastAsia="宋体" w:cs="Times New Roman"/>
          <w:b/>
          <w:bCs/>
          <w:color w:val="000000"/>
          <w:kern w:val="0"/>
          <w:sz w:val="24"/>
          <w:szCs w:val="24"/>
          <w:u w:val="single"/>
        </w:rPr>
        <w:t xml:space="preserve"> 一</w:t>
      </w:r>
      <w:bookmarkStart w:id="14" w:name="_GoBack"/>
      <w:r>
        <w:rPr>
          <w:rFonts w:hint="eastAsia" w:ascii="宋体" w:hAnsi="宋体" w:eastAsia="宋体" w:cs="Times New Roman"/>
          <w:b/>
          <w:bCs/>
          <w:color w:val="000000"/>
          <w:kern w:val="0"/>
          <w:sz w:val="24"/>
          <w:szCs w:val="24"/>
          <w:u w:val="single"/>
        </w:rPr>
        <w:t xml:space="preserve"> </w:t>
      </w:r>
      <w:bookmarkEnd w:id="14"/>
      <w:r>
        <w:rPr>
          <w:rFonts w:hint="eastAsia" w:ascii="宋体" w:hAnsi="宋体" w:eastAsia="宋体" w:cs="Times New Roman"/>
          <w:color w:val="000000"/>
          <w:kern w:val="0"/>
          <w:sz w:val="24"/>
          <w:szCs w:val="24"/>
        </w:rPr>
        <w:t>年；</w:t>
      </w:r>
    </w:p>
    <w:p>
      <w:pPr>
        <w:spacing w:line="360" w:lineRule="auto"/>
        <w:ind w:firstLine="482" w:firstLineChars="200"/>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自</w:t>
      </w:r>
      <w:r>
        <w:rPr>
          <w:rFonts w:hint="eastAsia" w:ascii="宋体" w:hAnsi="宋体" w:eastAsia="宋体" w:cs="Times New Roman"/>
          <w:b/>
          <w:bCs/>
          <w:color w:val="000000"/>
          <w:kern w:val="0"/>
          <w:sz w:val="24"/>
          <w:szCs w:val="24"/>
          <w:u w:val="single"/>
        </w:rPr>
        <w:t xml:space="preserve">  2020 </w:t>
      </w:r>
      <w:r>
        <w:rPr>
          <w:rFonts w:hint="eastAsia" w:ascii="宋体" w:hAnsi="宋体" w:eastAsia="宋体" w:cs="Times New Roman"/>
          <w:b/>
          <w:bCs/>
          <w:color w:val="000000"/>
          <w:kern w:val="0"/>
          <w:sz w:val="24"/>
          <w:szCs w:val="24"/>
        </w:rPr>
        <w:t>年</w:t>
      </w:r>
      <w:r>
        <w:rPr>
          <w:rFonts w:hint="eastAsia" w:ascii="宋体" w:hAnsi="宋体" w:eastAsia="宋体" w:cs="Times New Roman"/>
          <w:b/>
          <w:bCs/>
          <w:color w:val="000000"/>
          <w:kern w:val="0"/>
          <w:sz w:val="24"/>
          <w:szCs w:val="24"/>
          <w:u w:val="single"/>
        </w:rPr>
        <w:t xml:space="preserve"> 1 </w:t>
      </w:r>
      <w:r>
        <w:rPr>
          <w:rFonts w:hint="eastAsia" w:ascii="宋体" w:hAnsi="宋体" w:eastAsia="宋体" w:cs="Times New Roman"/>
          <w:b/>
          <w:bCs/>
          <w:color w:val="000000"/>
          <w:kern w:val="0"/>
          <w:sz w:val="24"/>
          <w:szCs w:val="24"/>
        </w:rPr>
        <w:t>月</w:t>
      </w:r>
      <w:r>
        <w:rPr>
          <w:rFonts w:hint="eastAsia" w:ascii="宋体" w:hAnsi="宋体" w:eastAsia="宋体" w:cs="Times New Roman"/>
          <w:b/>
          <w:bCs/>
          <w:color w:val="000000"/>
          <w:kern w:val="0"/>
          <w:sz w:val="24"/>
          <w:szCs w:val="24"/>
          <w:u w:val="single"/>
        </w:rPr>
        <w:t xml:space="preserve"> 16 </w:t>
      </w:r>
      <w:r>
        <w:rPr>
          <w:rFonts w:hint="eastAsia" w:ascii="宋体" w:hAnsi="宋体" w:eastAsia="宋体" w:cs="Times New Roman"/>
          <w:b/>
          <w:bCs/>
          <w:color w:val="000000"/>
          <w:kern w:val="0"/>
          <w:sz w:val="24"/>
          <w:szCs w:val="24"/>
        </w:rPr>
        <w:t>日起至</w:t>
      </w:r>
      <w:r>
        <w:rPr>
          <w:rFonts w:hint="eastAsia" w:ascii="宋体" w:hAnsi="宋体" w:eastAsia="宋体" w:cs="Times New Roman"/>
          <w:b/>
          <w:bCs/>
          <w:color w:val="000000"/>
          <w:kern w:val="0"/>
          <w:sz w:val="24"/>
          <w:szCs w:val="24"/>
          <w:u w:val="single"/>
        </w:rPr>
        <w:t xml:space="preserve"> 2021 </w:t>
      </w:r>
      <w:r>
        <w:rPr>
          <w:rFonts w:hint="eastAsia" w:ascii="宋体" w:hAnsi="宋体" w:eastAsia="宋体" w:cs="Times New Roman"/>
          <w:b/>
          <w:bCs/>
          <w:color w:val="000000"/>
          <w:kern w:val="0"/>
          <w:sz w:val="24"/>
          <w:szCs w:val="24"/>
        </w:rPr>
        <w:t>年</w:t>
      </w:r>
      <w:r>
        <w:rPr>
          <w:rFonts w:hint="eastAsia" w:ascii="宋体" w:hAnsi="宋体" w:eastAsia="宋体" w:cs="Times New Roman"/>
          <w:b/>
          <w:bCs/>
          <w:color w:val="000000"/>
          <w:kern w:val="0"/>
          <w:sz w:val="24"/>
          <w:szCs w:val="24"/>
          <w:u w:val="single"/>
        </w:rPr>
        <w:t xml:space="preserve"> 1 </w:t>
      </w:r>
      <w:r>
        <w:rPr>
          <w:rFonts w:hint="eastAsia" w:ascii="宋体" w:hAnsi="宋体" w:eastAsia="宋体" w:cs="Times New Roman"/>
          <w:b/>
          <w:bCs/>
          <w:color w:val="000000"/>
          <w:kern w:val="0"/>
          <w:sz w:val="24"/>
          <w:szCs w:val="24"/>
        </w:rPr>
        <w:t>月</w:t>
      </w:r>
      <w:r>
        <w:rPr>
          <w:rFonts w:hint="eastAsia" w:ascii="宋体" w:hAnsi="宋体" w:eastAsia="宋体" w:cs="Times New Roman"/>
          <w:b/>
          <w:bCs/>
          <w:color w:val="000000"/>
          <w:kern w:val="0"/>
          <w:sz w:val="24"/>
          <w:szCs w:val="24"/>
          <w:u w:val="single"/>
        </w:rPr>
        <w:t xml:space="preserve"> 15 </w:t>
      </w:r>
      <w:r>
        <w:rPr>
          <w:rFonts w:hint="eastAsia" w:ascii="宋体" w:hAnsi="宋体" w:eastAsia="宋体" w:cs="Times New Roman"/>
          <w:b/>
          <w:bCs/>
          <w:color w:val="000000"/>
          <w:kern w:val="0"/>
          <w:sz w:val="24"/>
          <w:szCs w:val="24"/>
        </w:rPr>
        <w:t>日止。</w:t>
      </w:r>
    </w:p>
    <w:p>
      <w:pPr>
        <w:pStyle w:val="2"/>
        <w:spacing w:after="0" w:line="360" w:lineRule="auto"/>
        <w:ind w:left="0" w:leftChars="0" w:firstLine="482"/>
        <w:rPr>
          <w:rFonts w:asciiTheme="majorEastAsia" w:hAnsiTheme="majorEastAsia" w:eastAsiaTheme="majorEastAsia"/>
          <w:b/>
          <w:bCs/>
          <w:sz w:val="24"/>
          <w:szCs w:val="24"/>
        </w:rPr>
      </w:pPr>
      <w:r>
        <w:rPr>
          <w:rFonts w:hint="eastAsia" w:asciiTheme="majorEastAsia" w:hAnsiTheme="majorEastAsia" w:eastAsiaTheme="majorEastAsia"/>
          <w:b/>
          <w:sz w:val="24"/>
          <w:szCs w:val="24"/>
        </w:rPr>
        <w:t>乙方投标时服务措施中提供的详细服务方案、承诺函将构成服务期内的考核细则</w:t>
      </w:r>
      <w:r>
        <w:rPr>
          <w:rFonts w:hint="eastAsia" w:asciiTheme="majorEastAsia" w:hAnsiTheme="majorEastAsia" w:eastAsiaTheme="majorEastAsia"/>
          <w:b/>
          <w:bCs/>
          <w:sz w:val="24"/>
          <w:szCs w:val="24"/>
        </w:rPr>
        <w:t>，如成交供应商在合同服务期内，不能按照考核细则履行合同，则采购单位有权立即终止合同，另行招标，所产生的一切后果由成交供应商承担。</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第五条 日常维护保养费</w:t>
      </w:r>
    </w:p>
    <w:p>
      <w:pPr>
        <w:spacing w:line="360" w:lineRule="auto"/>
        <w:ind w:left="482"/>
        <w:rPr>
          <w:rFonts w:ascii="宋体" w:hAnsi="宋体" w:eastAsia="宋体" w:cs="Times New Roman"/>
          <w:color w:val="000000"/>
          <w:sz w:val="24"/>
          <w:szCs w:val="24"/>
        </w:rPr>
      </w:pPr>
      <w:r>
        <w:rPr>
          <w:rFonts w:hint="eastAsia" w:ascii="宋体" w:hAnsi="宋体" w:eastAsia="宋体" w:cs="Times New Roman"/>
          <w:color w:val="000000"/>
          <w:sz w:val="24"/>
          <w:szCs w:val="24"/>
        </w:rPr>
        <w:t>维护保养费总计：</w:t>
      </w:r>
    </w:p>
    <w:tbl>
      <w:tblPr>
        <w:tblStyle w:val="19"/>
        <w:tblW w:w="10238" w:type="dxa"/>
        <w:tblInd w:w="-1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9"/>
        <w:gridCol w:w="1115"/>
        <w:gridCol w:w="767"/>
        <w:gridCol w:w="800"/>
        <w:gridCol w:w="1517"/>
        <w:gridCol w:w="916"/>
        <w:gridCol w:w="717"/>
        <w:gridCol w:w="2381"/>
        <w:gridCol w:w="1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序号</w:t>
            </w:r>
          </w:p>
        </w:tc>
        <w:tc>
          <w:tcPr>
            <w:tcW w:w="1115"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场地</w:t>
            </w:r>
          </w:p>
        </w:tc>
        <w:tc>
          <w:tcPr>
            <w:tcW w:w="76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电梯类型</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电梯 品牌</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电梯型号</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载重量</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数量</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维保期限</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1</w:t>
            </w:r>
          </w:p>
        </w:tc>
        <w:tc>
          <w:tcPr>
            <w:tcW w:w="1115"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蔬菜大厅</w:t>
            </w:r>
          </w:p>
        </w:tc>
        <w:tc>
          <w:tcPr>
            <w:tcW w:w="76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货梯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迅达</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S80L5000/0.5</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3000kg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w:t>
            </w:r>
          </w:p>
        </w:tc>
        <w:tc>
          <w:tcPr>
            <w:tcW w:w="1115" w:type="dxa"/>
            <w:vAlign w:val="center"/>
          </w:tcPr>
          <w:p>
            <w:pPr>
              <w:widowControl/>
              <w:jc w:val="center"/>
              <w:rPr>
                <w:rFonts w:ascii="宋体" w:hAnsi="宋体" w:eastAsia="宋体" w:cs="仿宋"/>
                <w:szCs w:val="21"/>
              </w:rPr>
            </w:pPr>
            <w:r>
              <w:rPr>
                <w:rFonts w:hint="eastAsia" w:ascii="宋体" w:hAnsi="宋体" w:eastAsia="宋体" w:cs="仿宋"/>
                <w:szCs w:val="21"/>
              </w:rPr>
              <w:t>水果大厅</w:t>
            </w:r>
          </w:p>
        </w:tc>
        <w:tc>
          <w:tcPr>
            <w:tcW w:w="767" w:type="dxa"/>
            <w:vAlign w:val="center"/>
          </w:tcPr>
          <w:p>
            <w:pPr>
              <w:widowControl/>
              <w:jc w:val="center"/>
              <w:rPr>
                <w:rFonts w:ascii="宋体" w:hAnsi="宋体" w:eastAsia="宋体" w:cs="仿宋"/>
                <w:szCs w:val="21"/>
              </w:rPr>
            </w:pPr>
            <w:r>
              <w:rPr>
                <w:rFonts w:hint="eastAsia" w:ascii="宋体" w:hAnsi="宋体" w:eastAsia="宋体" w:cs="仿宋"/>
                <w:szCs w:val="21"/>
              </w:rPr>
              <w:t>货梯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迅达</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S80L5000/0.5</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3000kg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4台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ind w:firstLine="210" w:firstLineChars="100"/>
              <w:contextualSpacing/>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3</w:t>
            </w:r>
          </w:p>
        </w:tc>
        <w:tc>
          <w:tcPr>
            <w:tcW w:w="1115" w:type="dxa"/>
            <w:vAlign w:val="center"/>
          </w:tcPr>
          <w:p>
            <w:pPr>
              <w:widowControl/>
              <w:jc w:val="center"/>
              <w:rPr>
                <w:rFonts w:ascii="宋体" w:hAnsi="宋体" w:eastAsia="宋体" w:cs="仿宋"/>
                <w:szCs w:val="21"/>
              </w:rPr>
            </w:pPr>
            <w:r>
              <w:rPr>
                <w:rFonts w:hint="eastAsia" w:ascii="宋体" w:hAnsi="宋体" w:eastAsia="宋体" w:cs="仿宋"/>
                <w:szCs w:val="21"/>
              </w:rPr>
              <w:t>水产大厅</w:t>
            </w:r>
          </w:p>
        </w:tc>
        <w:tc>
          <w:tcPr>
            <w:tcW w:w="767" w:type="dxa"/>
            <w:vAlign w:val="center"/>
          </w:tcPr>
          <w:p>
            <w:pPr>
              <w:widowControl/>
              <w:jc w:val="center"/>
              <w:rPr>
                <w:rFonts w:ascii="宋体" w:hAnsi="宋体" w:eastAsia="宋体" w:cs="仿宋"/>
                <w:szCs w:val="21"/>
              </w:rPr>
            </w:pPr>
            <w:r>
              <w:rPr>
                <w:rFonts w:hint="eastAsia" w:ascii="宋体" w:hAnsi="宋体" w:eastAsia="宋体" w:cs="仿宋"/>
                <w:szCs w:val="21"/>
              </w:rPr>
              <w:t>货梯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迅达</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S80L5000/0.5</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5000kg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4台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Merge w:val="restart"/>
            <w:vAlign w:val="center"/>
          </w:tcPr>
          <w:p>
            <w:pPr>
              <w:widowControl/>
              <w:contextualSpacing/>
              <w:jc w:val="center"/>
              <w:rPr>
                <w:rFonts w:ascii="宋体" w:hAnsi="宋体" w:eastAsia="宋体" w:cs="仿宋"/>
                <w:szCs w:val="21"/>
              </w:rPr>
            </w:pPr>
            <w:r>
              <w:rPr>
                <w:rFonts w:hint="eastAsia" w:ascii="宋体" w:hAnsi="宋体" w:eastAsia="宋体" w:cs="仿宋"/>
                <w:szCs w:val="21"/>
              </w:rPr>
              <w:t>4</w:t>
            </w:r>
          </w:p>
        </w:tc>
        <w:tc>
          <w:tcPr>
            <w:tcW w:w="1115" w:type="dxa"/>
            <w:vAlign w:val="center"/>
          </w:tcPr>
          <w:p>
            <w:pPr>
              <w:widowControl/>
              <w:jc w:val="center"/>
              <w:rPr>
                <w:rFonts w:ascii="宋体" w:hAnsi="宋体" w:eastAsia="宋体" w:cs="仿宋"/>
                <w:szCs w:val="21"/>
              </w:rPr>
            </w:pPr>
            <w:r>
              <w:rPr>
                <w:rFonts w:hint="eastAsia" w:ascii="宋体" w:hAnsi="宋体" w:eastAsia="宋体" w:cs="仿宋"/>
                <w:szCs w:val="21"/>
              </w:rPr>
              <w:t>干货大厅</w:t>
            </w:r>
          </w:p>
        </w:tc>
        <w:tc>
          <w:tcPr>
            <w:tcW w:w="767" w:type="dxa"/>
            <w:vAlign w:val="center"/>
          </w:tcPr>
          <w:p>
            <w:pPr>
              <w:widowControl/>
              <w:jc w:val="center"/>
              <w:rPr>
                <w:rFonts w:ascii="宋体" w:hAnsi="宋体" w:eastAsia="宋体" w:cs="仿宋"/>
                <w:szCs w:val="21"/>
              </w:rPr>
            </w:pPr>
            <w:r>
              <w:rPr>
                <w:rFonts w:hint="eastAsia" w:ascii="宋体" w:hAnsi="宋体" w:eastAsia="宋体" w:cs="仿宋"/>
                <w:szCs w:val="21"/>
              </w:rPr>
              <w:t>货梯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迅达</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S80L5000/0.5</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5000kg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4台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Merge w:val="continue"/>
            <w:vAlign w:val="center"/>
          </w:tcPr>
          <w:p>
            <w:pPr>
              <w:widowControl/>
              <w:contextualSpacing/>
              <w:jc w:val="center"/>
              <w:rPr>
                <w:rFonts w:ascii="宋体" w:hAnsi="宋体" w:eastAsia="宋体" w:cs="仿宋"/>
                <w:szCs w:val="21"/>
              </w:rPr>
            </w:pPr>
          </w:p>
        </w:tc>
        <w:tc>
          <w:tcPr>
            <w:tcW w:w="1115" w:type="dxa"/>
            <w:vAlign w:val="center"/>
          </w:tcPr>
          <w:p>
            <w:pPr>
              <w:widowControl/>
              <w:jc w:val="center"/>
              <w:rPr>
                <w:rFonts w:ascii="宋体" w:hAnsi="宋体" w:eastAsia="宋体" w:cs="仿宋"/>
                <w:szCs w:val="21"/>
              </w:rPr>
            </w:pPr>
            <w:r>
              <w:rPr>
                <w:rFonts w:hint="eastAsia" w:ascii="宋体" w:hAnsi="宋体" w:eastAsia="宋体" w:cs="仿宋"/>
                <w:szCs w:val="21"/>
              </w:rPr>
              <w:t>干货大厅</w:t>
            </w:r>
          </w:p>
        </w:tc>
        <w:tc>
          <w:tcPr>
            <w:tcW w:w="767" w:type="dxa"/>
            <w:vAlign w:val="center"/>
          </w:tcPr>
          <w:p>
            <w:pPr>
              <w:widowControl/>
              <w:jc w:val="center"/>
              <w:rPr>
                <w:rFonts w:ascii="宋体" w:hAnsi="宋体" w:eastAsia="宋体" w:cs="仿宋"/>
                <w:szCs w:val="21"/>
              </w:rPr>
            </w:pPr>
            <w:r>
              <w:rPr>
                <w:rFonts w:hint="eastAsia" w:ascii="宋体" w:hAnsi="宋体" w:eastAsia="宋体" w:cs="仿宋"/>
                <w:szCs w:val="21"/>
              </w:rPr>
              <w:t>货梯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迅达</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S80L5000/0.5</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3000kg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4台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5</w:t>
            </w:r>
          </w:p>
        </w:tc>
        <w:tc>
          <w:tcPr>
            <w:tcW w:w="1115" w:type="dxa"/>
            <w:vAlign w:val="center"/>
          </w:tcPr>
          <w:p>
            <w:pPr>
              <w:widowControl/>
              <w:jc w:val="center"/>
              <w:rPr>
                <w:rFonts w:ascii="宋体" w:hAnsi="宋体" w:eastAsia="宋体" w:cs="仿宋"/>
                <w:szCs w:val="21"/>
              </w:rPr>
            </w:pPr>
            <w:r>
              <w:rPr>
                <w:rFonts w:hint="eastAsia" w:ascii="宋体" w:hAnsi="宋体" w:eastAsia="宋体" w:cs="仿宋"/>
                <w:szCs w:val="21"/>
              </w:rPr>
              <w:t>粮油大厅</w:t>
            </w:r>
          </w:p>
        </w:tc>
        <w:tc>
          <w:tcPr>
            <w:tcW w:w="767" w:type="dxa"/>
            <w:vAlign w:val="center"/>
          </w:tcPr>
          <w:p>
            <w:pPr>
              <w:widowControl/>
              <w:jc w:val="center"/>
              <w:rPr>
                <w:rFonts w:ascii="宋体" w:hAnsi="宋体" w:eastAsia="宋体" w:cs="仿宋"/>
                <w:szCs w:val="21"/>
              </w:rPr>
            </w:pPr>
            <w:r>
              <w:rPr>
                <w:rFonts w:hint="eastAsia" w:ascii="宋体" w:hAnsi="宋体" w:eastAsia="宋体" w:cs="仿宋"/>
                <w:szCs w:val="21"/>
              </w:rPr>
              <w:t>货梯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三菱</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HOPE-IIG</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5000kg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4台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6</w:t>
            </w:r>
          </w:p>
        </w:tc>
        <w:tc>
          <w:tcPr>
            <w:tcW w:w="1115"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展销楼</w:t>
            </w:r>
          </w:p>
        </w:tc>
        <w:tc>
          <w:tcPr>
            <w:tcW w:w="76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客梯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奥的斯</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GeN2Comfort</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1275kg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3台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7</w:t>
            </w:r>
          </w:p>
        </w:tc>
        <w:tc>
          <w:tcPr>
            <w:tcW w:w="1115"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商务楼</w:t>
            </w:r>
          </w:p>
        </w:tc>
        <w:tc>
          <w:tcPr>
            <w:tcW w:w="76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客梯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奥的斯</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GeN2Comfort</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1275kg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3台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8</w:t>
            </w:r>
          </w:p>
        </w:tc>
        <w:tc>
          <w:tcPr>
            <w:tcW w:w="1115"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粮油大厅</w:t>
            </w:r>
          </w:p>
        </w:tc>
        <w:tc>
          <w:tcPr>
            <w:tcW w:w="76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扶梯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奥的斯</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Times New Roman"/>
                <w:sz w:val="24"/>
                <w:szCs w:val="24"/>
              </w:rPr>
              <w:t>otisLinK</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5.5m</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8台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9</w:t>
            </w:r>
          </w:p>
        </w:tc>
        <w:tc>
          <w:tcPr>
            <w:tcW w:w="1115"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1号冷库</w:t>
            </w:r>
          </w:p>
        </w:tc>
        <w:tc>
          <w:tcPr>
            <w:tcW w:w="76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货梯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三菱</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HOPE-IIG</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5000kg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8台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10</w:t>
            </w:r>
          </w:p>
        </w:tc>
        <w:tc>
          <w:tcPr>
            <w:tcW w:w="1115"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2号冷库</w:t>
            </w:r>
          </w:p>
        </w:tc>
        <w:tc>
          <w:tcPr>
            <w:tcW w:w="76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货梯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三菱</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HOPE-IIG</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5000kg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8台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2020.3—2021.1.15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11</w:t>
            </w:r>
          </w:p>
        </w:tc>
        <w:tc>
          <w:tcPr>
            <w:tcW w:w="1115"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冻品一</w:t>
            </w:r>
          </w:p>
        </w:tc>
        <w:tc>
          <w:tcPr>
            <w:tcW w:w="76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货梯</w:t>
            </w:r>
          </w:p>
        </w:tc>
        <w:tc>
          <w:tcPr>
            <w:tcW w:w="800"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日立</w:t>
            </w:r>
          </w:p>
        </w:tc>
        <w:tc>
          <w:tcPr>
            <w:tcW w:w="15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LE-2000-2S30</w:t>
            </w:r>
          </w:p>
        </w:tc>
        <w:tc>
          <w:tcPr>
            <w:tcW w:w="91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2000kg</w:t>
            </w:r>
          </w:p>
        </w:tc>
        <w:tc>
          <w:tcPr>
            <w:tcW w:w="717"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1台</w:t>
            </w:r>
          </w:p>
        </w:tc>
        <w:tc>
          <w:tcPr>
            <w:tcW w:w="2381"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2020.1.16—2021.1.15</w:t>
            </w:r>
          </w:p>
        </w:tc>
        <w:tc>
          <w:tcPr>
            <w:tcW w:w="1556" w:type="dxa"/>
            <w:vAlign w:val="center"/>
          </w:tcPr>
          <w:p>
            <w:pPr>
              <w:widowControl/>
              <w:contextualSpacing/>
              <w:jc w:val="center"/>
              <w:rPr>
                <w:rFonts w:ascii="宋体" w:hAnsi="宋体" w:eastAsia="宋体" w:cs="仿宋"/>
                <w:szCs w:val="21"/>
              </w:rPr>
            </w:pPr>
            <w:r>
              <w:rPr>
                <w:rFonts w:hint="eastAsia" w:ascii="宋体" w:hAnsi="宋体" w:eastAsia="宋体" w:cs="仿宋"/>
                <w:szCs w:val="21"/>
              </w:rPr>
              <w:t>元/台/年</w:t>
            </w:r>
          </w:p>
        </w:tc>
      </w:tr>
    </w:tbl>
    <w:p>
      <w:pPr>
        <w:spacing w:line="360" w:lineRule="auto"/>
        <w:ind w:left="482"/>
        <w:rPr>
          <w:rFonts w:ascii="宋体" w:hAnsi="宋体" w:eastAsia="宋体" w:cs="Times New Roman"/>
          <w:color w:val="000000"/>
          <w:sz w:val="24"/>
          <w:szCs w:val="24"/>
        </w:rPr>
      </w:pPr>
    </w:p>
    <w:p>
      <w:pPr>
        <w:spacing w:line="360" w:lineRule="auto"/>
        <w:ind w:left="482"/>
        <w:rPr>
          <w:rFonts w:ascii="宋体" w:hAnsi="宋体" w:eastAsia="宋体" w:cs="Times New Roman"/>
          <w:b/>
          <w:color w:val="000000"/>
          <w:sz w:val="24"/>
          <w:szCs w:val="24"/>
          <w:u w:val="single"/>
        </w:rPr>
      </w:pPr>
      <w:r>
        <w:rPr>
          <w:rFonts w:hint="eastAsia" w:ascii="宋体" w:hAnsi="宋体" w:eastAsia="宋体" w:cs="Times New Roman"/>
          <w:b/>
          <w:color w:val="000000"/>
          <w:sz w:val="24"/>
          <w:szCs w:val="24"/>
          <w:u w:val="single"/>
        </w:rPr>
        <w:t>服务期（2020.1.16—2021.1.15，共53台）总价：         元（大写：         元整）</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第六条  结算方式：先服务后收费</w:t>
      </w:r>
    </w:p>
    <w:p>
      <w:pPr>
        <w:spacing w:line="360" w:lineRule="auto"/>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甲方按</w:t>
      </w:r>
      <w:r>
        <w:rPr>
          <w:rFonts w:hint="eastAsia" w:ascii="宋体" w:hAnsi="宋体" w:eastAsia="宋体" w:cs="宋体"/>
          <w:b/>
          <w:color w:val="000000"/>
          <w:kern w:val="0"/>
          <w:sz w:val="24"/>
          <w:szCs w:val="24"/>
        </w:rPr>
        <w:t xml:space="preserve">（   </w:t>
      </w:r>
      <w:r>
        <w:rPr>
          <w:rFonts w:hint="eastAsia" w:ascii="MS Mincho" w:hAnsi="MS Mincho" w:eastAsia="MS Mincho" w:cs="MS Mincho"/>
          <w:b/>
          <w:color w:val="000000"/>
          <w:kern w:val="0"/>
          <w:sz w:val="24"/>
          <w:szCs w:val="24"/>
        </w:rPr>
        <w:t>☑</w:t>
      </w:r>
      <w:r>
        <w:rPr>
          <w:rFonts w:hint="eastAsia" w:ascii="宋体" w:hAnsi="宋体" w:eastAsia="宋体" w:cs="宋体"/>
          <w:b/>
          <w:color w:val="000000"/>
          <w:kern w:val="0"/>
          <w:sz w:val="24"/>
          <w:szCs w:val="24"/>
        </w:rPr>
        <w:t>季   □半年   □年 ）</w:t>
      </w:r>
      <w:r>
        <w:rPr>
          <w:rFonts w:hint="eastAsia" w:ascii="宋体" w:hAnsi="宋体" w:eastAsia="宋体" w:cs="宋体"/>
          <w:color w:val="000000"/>
          <w:kern w:val="0"/>
          <w:sz w:val="24"/>
          <w:szCs w:val="24"/>
        </w:rPr>
        <w:t>支付维护保养费。</w:t>
      </w:r>
    </w:p>
    <w:p>
      <w:pPr>
        <w:spacing w:line="360" w:lineRule="auto"/>
        <w:ind w:firstLine="480" w:firstLineChars="200"/>
        <w:contextualSpacing/>
        <w:rPr>
          <w:rFonts w:ascii="宋体" w:hAnsi="宋体" w:eastAsia="宋体" w:cs="Times New Roman"/>
          <w:sz w:val="24"/>
          <w:szCs w:val="24"/>
        </w:rPr>
      </w:pPr>
      <w:r>
        <w:rPr>
          <w:rFonts w:hint="eastAsia" w:ascii="宋体" w:hAnsi="宋体" w:eastAsia="宋体" w:cs="Times New Roman"/>
          <w:sz w:val="24"/>
          <w:szCs w:val="24"/>
        </w:rPr>
        <w:t>付款方式/支付时间：每个结算期满后的10日内支付合同总价的25%，</w:t>
      </w:r>
      <w:r>
        <w:rPr>
          <w:rFonts w:hint="eastAsia" w:ascii="宋体" w:hAnsi="宋体" w:eastAsia="宋体" w:cs="Times New Roman"/>
          <w:color w:val="333333"/>
          <w:sz w:val="24"/>
          <w:szCs w:val="24"/>
        </w:rPr>
        <w:t>由乙方提供等额服务费增值税发票，并经采购人审核后付款。</w:t>
      </w:r>
    </w:p>
    <w:p>
      <w:pPr>
        <w:spacing w:line="360" w:lineRule="auto"/>
        <w:rPr>
          <w:rFonts w:ascii="宋体" w:hAnsi="宋体" w:eastAsia="宋体" w:cs="宋体"/>
          <w:color w:val="000000"/>
          <w:kern w:val="0"/>
          <w:sz w:val="24"/>
          <w:szCs w:val="24"/>
        </w:rPr>
      </w:pPr>
      <w:r>
        <w:rPr>
          <w:rFonts w:hint="eastAsia" w:ascii="宋体" w:hAnsi="宋体" w:eastAsia="宋体" w:cs="宋体"/>
          <w:b/>
          <w:color w:val="000000"/>
          <w:kern w:val="0"/>
          <w:sz w:val="24"/>
          <w:szCs w:val="24"/>
        </w:rPr>
        <w:t>第七条  日常维护保养方式：</w:t>
      </w:r>
      <w:r>
        <w:rPr>
          <w:rFonts w:hint="eastAsia" w:ascii="宋体" w:hAnsi="宋体" w:eastAsia="宋体" w:cs="宋体"/>
          <w:color w:val="000000"/>
          <w:kern w:val="0"/>
          <w:sz w:val="24"/>
          <w:szCs w:val="24"/>
        </w:rPr>
        <w:t xml:space="preserve">  </w:t>
      </w:r>
      <w:r>
        <w:rPr>
          <w:rFonts w:hint="eastAsia" w:ascii="宋体" w:hAnsi="宋体" w:eastAsia="宋体" w:cs="宋体"/>
          <w:b/>
          <w:color w:val="000000"/>
          <w:kern w:val="0"/>
          <w:sz w:val="24"/>
          <w:szCs w:val="24"/>
        </w:rPr>
        <w:t xml:space="preserve">□清包     </w:t>
      </w:r>
      <w:r>
        <w:rPr>
          <w:rFonts w:ascii="宋体" w:hAnsi="宋体" w:eastAsia="宋体" w:cs="宋体"/>
          <w:b/>
          <w:color w:val="000000"/>
          <w:kern w:val="0"/>
          <w:sz w:val="24"/>
          <w:szCs w:val="24"/>
        </w:rPr>
        <w:t>√</w:t>
      </w:r>
      <w:r>
        <w:rPr>
          <w:rFonts w:hint="eastAsia" w:ascii="宋体" w:hAnsi="宋体" w:eastAsia="宋体" w:cs="宋体"/>
          <w:b/>
          <w:color w:val="000000"/>
          <w:kern w:val="0"/>
          <w:sz w:val="24"/>
          <w:szCs w:val="24"/>
        </w:rPr>
        <w:t>半包    □大包</w:t>
      </w:r>
      <w:r>
        <w:rPr>
          <w:rFonts w:hint="eastAsia" w:ascii="宋体" w:hAnsi="宋体" w:eastAsia="宋体" w:cs="宋体"/>
          <w:color w:val="000000"/>
          <w:kern w:val="0"/>
          <w:sz w:val="24"/>
          <w:szCs w:val="24"/>
        </w:rPr>
        <w:t>。</w:t>
      </w:r>
    </w:p>
    <w:p>
      <w:pPr>
        <w:spacing w:line="360" w:lineRule="auto"/>
        <w:ind w:left="439" w:leftChars="209" w:firstLine="38" w:firstLineChars="16"/>
        <w:jc w:val="left"/>
        <w:rPr>
          <w:rFonts w:ascii="宋体" w:hAnsi="宋体" w:eastAsia="宋体" w:cs="ËÎÌå"/>
          <w:color w:val="000000"/>
          <w:kern w:val="0"/>
          <w:sz w:val="24"/>
          <w:szCs w:val="24"/>
        </w:rPr>
      </w:pPr>
      <w:r>
        <w:rPr>
          <w:rFonts w:hint="eastAsia" w:ascii="宋体" w:hAnsi="宋体" w:eastAsia="宋体" w:cs="ËÎÌå"/>
          <w:color w:val="000000"/>
          <w:kern w:val="0"/>
          <w:sz w:val="24"/>
          <w:szCs w:val="24"/>
        </w:rPr>
        <w:t>维保中更换零部件为乙方负责日常损耗的及200元以内的配件，超出200元以上的配件，</w:t>
      </w:r>
    </w:p>
    <w:p>
      <w:pPr>
        <w:spacing w:line="360" w:lineRule="auto"/>
        <w:jc w:val="left"/>
        <w:rPr>
          <w:rFonts w:ascii="宋体" w:hAnsi="宋体" w:eastAsia="宋体" w:cs="ËÎÌå"/>
          <w:color w:val="000000"/>
          <w:kern w:val="0"/>
          <w:sz w:val="24"/>
          <w:szCs w:val="24"/>
        </w:rPr>
      </w:pPr>
      <w:r>
        <w:rPr>
          <w:rFonts w:hint="eastAsia" w:ascii="宋体" w:hAnsi="宋体" w:eastAsia="宋体" w:cs="ËÎÌå"/>
          <w:color w:val="000000"/>
          <w:kern w:val="0"/>
          <w:sz w:val="24"/>
          <w:szCs w:val="24"/>
        </w:rPr>
        <w:t>先由乙方申报，甲方审核同意后再由乙方采购进行更换，费用另行结算。</w:t>
      </w:r>
    </w:p>
    <w:p>
      <w:pPr>
        <w:spacing w:line="360" w:lineRule="auto"/>
        <w:jc w:val="left"/>
        <w:rPr>
          <w:rFonts w:ascii="宋体" w:hAnsi="宋体" w:eastAsia="宋体" w:cs="ËÎÌå"/>
          <w:color w:val="000000"/>
          <w:kern w:val="0"/>
          <w:sz w:val="24"/>
          <w:szCs w:val="24"/>
        </w:rPr>
      </w:pPr>
      <w:r>
        <w:rPr>
          <w:rFonts w:hint="eastAsia" w:ascii="宋体" w:hAnsi="宋体" w:eastAsia="宋体" w:cs="ËÎÌå"/>
          <w:b/>
          <w:color w:val="000000"/>
          <w:kern w:val="0"/>
          <w:sz w:val="24"/>
          <w:szCs w:val="24"/>
        </w:rPr>
        <w:t>第八条  乙方为甲方提供24小时维护保养</w:t>
      </w:r>
      <w:r>
        <w:rPr>
          <w:rFonts w:hint="eastAsia" w:ascii="宋体" w:hAnsi="宋体" w:eastAsia="宋体" w:cs="宋体"/>
          <w:b/>
          <w:color w:val="000000"/>
          <w:kern w:val="0"/>
          <w:sz w:val="24"/>
          <w:szCs w:val="24"/>
        </w:rPr>
        <w:t>服务热线电话：</w:t>
      </w:r>
      <w:r>
        <w:rPr>
          <w:rFonts w:hint="eastAsia" w:ascii="宋体" w:hAnsi="宋体" w:eastAsia="宋体" w:cs="宋体"/>
          <w:color w:val="000000"/>
          <w:kern w:val="0"/>
          <w:sz w:val="24"/>
          <w:szCs w:val="24"/>
          <w:u w:val="single"/>
        </w:rPr>
        <w:t xml:space="preserve">           </w:t>
      </w:r>
    </w:p>
    <w:p>
      <w:pPr>
        <w:spacing w:line="360" w:lineRule="auto"/>
        <w:rPr>
          <w:rFonts w:ascii="宋体" w:hAnsi="宋体" w:eastAsia="宋体" w:cs="ËÎÌå"/>
          <w:color w:val="000000"/>
          <w:kern w:val="0"/>
          <w:sz w:val="24"/>
          <w:szCs w:val="24"/>
        </w:rPr>
      </w:pPr>
      <w:r>
        <w:rPr>
          <w:rFonts w:hint="eastAsia" w:ascii="宋体" w:hAnsi="宋体" w:eastAsia="宋体" w:cs="ËÎÌå"/>
          <w:b/>
          <w:color w:val="000000"/>
          <w:kern w:val="0"/>
          <w:sz w:val="24"/>
          <w:szCs w:val="24"/>
        </w:rPr>
        <w:t xml:space="preserve">第九条  </w:t>
      </w:r>
      <w:r>
        <w:rPr>
          <w:rFonts w:hint="eastAsia" w:ascii="宋体" w:hAnsi="宋体" w:eastAsia="宋体" w:cs="ËÎÌå"/>
          <w:color w:val="000000"/>
          <w:kern w:val="0"/>
          <w:sz w:val="24"/>
          <w:szCs w:val="24"/>
        </w:rPr>
        <w:t>乙方提供24小时快捷应急服务。</w:t>
      </w:r>
    </w:p>
    <w:p>
      <w:pPr>
        <w:spacing w:line="360" w:lineRule="auto"/>
        <w:rPr>
          <w:rFonts w:ascii="宋体" w:hAnsi="宋体" w:eastAsia="宋体" w:cs="ËÎÌå"/>
          <w:b/>
          <w:color w:val="000000"/>
          <w:kern w:val="0"/>
          <w:sz w:val="24"/>
          <w:szCs w:val="24"/>
          <w:u w:val="single"/>
        </w:rPr>
      </w:pPr>
      <w:r>
        <w:rPr>
          <w:rFonts w:hint="eastAsia" w:ascii="宋体" w:hAnsi="宋体" w:eastAsia="宋体" w:cs="Times New Roman"/>
          <w:b/>
          <w:color w:val="000000"/>
          <w:sz w:val="24"/>
          <w:szCs w:val="24"/>
        </w:rPr>
        <w:t>第十条  乙方权利、义务</w:t>
      </w:r>
    </w:p>
    <w:p>
      <w:pPr>
        <w:spacing w:line="360" w:lineRule="auto"/>
        <w:ind w:firstLine="361" w:firstLineChars="150"/>
        <w:rPr>
          <w:rFonts w:ascii="宋体" w:hAnsi="宋体" w:eastAsia="宋体" w:cs="Times New Roman"/>
          <w:b/>
          <w:color w:val="000000"/>
          <w:sz w:val="24"/>
          <w:szCs w:val="24"/>
        </w:rPr>
      </w:pPr>
      <w:r>
        <w:rPr>
          <w:rFonts w:hint="eastAsia" w:ascii="宋体" w:hAnsi="宋体" w:eastAsia="宋体" w:cs="Times New Roman"/>
          <w:b/>
          <w:color w:val="000000"/>
          <w:sz w:val="24"/>
          <w:szCs w:val="24"/>
        </w:rPr>
        <w:t>（一）权利</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1、甲方有权监督乙方按照合同约定履行维护保养义务，发出故障通知或提出建议。</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2、甲方有权要求乙方保障电梯的正常运行。乙方的维护保养达不到合同约定的维护保养标准或要求的，甲方安全管理人员有权拒绝在维护保养记录上签字。</w:t>
      </w:r>
    </w:p>
    <w:p>
      <w:pPr>
        <w:spacing w:line="360" w:lineRule="auto"/>
        <w:ind w:firstLine="361" w:firstLineChars="150"/>
        <w:rPr>
          <w:rFonts w:ascii="宋体" w:hAnsi="宋体" w:eastAsia="宋体" w:cs="Times New Roman"/>
          <w:b/>
          <w:color w:val="000000"/>
          <w:sz w:val="24"/>
          <w:szCs w:val="24"/>
        </w:rPr>
      </w:pPr>
      <w:r>
        <w:rPr>
          <w:rFonts w:hint="eastAsia" w:ascii="宋体" w:hAnsi="宋体" w:eastAsia="宋体" w:cs="Times New Roman"/>
          <w:b/>
          <w:color w:val="000000"/>
          <w:sz w:val="24"/>
          <w:szCs w:val="24"/>
        </w:rPr>
        <w:t>（二）义务</w:t>
      </w:r>
    </w:p>
    <w:p>
      <w:pPr>
        <w:spacing w:line="360" w:lineRule="auto"/>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sz w:val="24"/>
          <w:szCs w:val="24"/>
        </w:rPr>
        <w:t>1、</w:t>
      </w:r>
      <w:r>
        <w:rPr>
          <w:rFonts w:hint="eastAsia" w:ascii="宋体" w:hAnsi="宋体" w:eastAsia="宋体" w:cs="Times New Roman"/>
          <w:b/>
          <w:color w:val="000000"/>
          <w:sz w:val="24"/>
          <w:szCs w:val="24"/>
        </w:rPr>
        <w:t>甲方应当设置电梯的安全管理机构或者配备电梯安全管理人员，至少有一名取得《特种设备业人员证》的电梯安全管理人员承担相应的管理职责</w:t>
      </w:r>
      <w:r>
        <w:rPr>
          <w:rFonts w:hint="eastAsia" w:ascii="宋体" w:hAnsi="宋体" w:eastAsia="宋体" w:cs="Times New Roman"/>
          <w:color w:val="000000"/>
          <w:sz w:val="24"/>
          <w:szCs w:val="24"/>
        </w:rPr>
        <w:t>。应当建立自己的以岗位责任制为核心的</w:t>
      </w:r>
      <w:r>
        <w:rPr>
          <w:rFonts w:hint="eastAsia" w:ascii="宋体" w:hAnsi="宋体" w:eastAsia="宋体" w:cs="Times New Roman"/>
          <w:b/>
          <w:color w:val="000000"/>
          <w:sz w:val="24"/>
          <w:szCs w:val="24"/>
        </w:rPr>
        <w:t>电梯使用和运营安全管理制度</w:t>
      </w:r>
      <w:r>
        <w:rPr>
          <w:rFonts w:hint="eastAsia" w:ascii="宋体" w:hAnsi="宋体" w:eastAsia="宋体" w:cs="Times New Roman"/>
          <w:color w:val="000000"/>
          <w:sz w:val="24"/>
          <w:szCs w:val="24"/>
        </w:rPr>
        <w:t>，并且严格执行。</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kern w:val="0"/>
          <w:sz w:val="24"/>
          <w:szCs w:val="24"/>
        </w:rPr>
        <w:t>2、甲</w:t>
      </w:r>
      <w:r>
        <w:rPr>
          <w:rFonts w:hint="eastAsia" w:ascii="宋体" w:hAnsi="宋体" w:eastAsia="宋体" w:cs="Times New Roman"/>
          <w:color w:val="000000"/>
          <w:sz w:val="24"/>
          <w:szCs w:val="24"/>
        </w:rPr>
        <w:t>方</w:t>
      </w:r>
      <w:r>
        <w:rPr>
          <w:rFonts w:hint="eastAsia" w:ascii="宋体" w:hAnsi="宋体" w:eastAsia="宋体" w:cs="Times New Roman"/>
          <w:color w:val="000000"/>
          <w:kern w:val="0"/>
          <w:sz w:val="24"/>
          <w:szCs w:val="24"/>
        </w:rPr>
        <w:t>应当按照安全技术规范的要求每年进行一次电梯定期检验。在《安全检验合格》标志规定的检验有效期届满前1个月，向检验机构提出定期检验申请。未经定期检验或者检验不合格的电梯，不继续使用。电梯投入使用前应当到市质监局特种设备处办理使用登记。具体电梯年检手续委托乙方办理，相关年检直接费用由甲方负责。</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Times New Roman"/>
          <w:color w:val="000000"/>
          <w:sz w:val="24"/>
          <w:szCs w:val="24"/>
        </w:rPr>
        <w:t>3、甲方</w:t>
      </w:r>
      <w:r>
        <w:rPr>
          <w:rFonts w:hint="eastAsia" w:ascii="宋体" w:hAnsi="宋体" w:eastAsia="宋体" w:cs="宋体"/>
          <w:color w:val="000000"/>
          <w:kern w:val="0"/>
          <w:sz w:val="24"/>
          <w:szCs w:val="24"/>
        </w:rPr>
        <w:t>应当对每台电梯建立完整的安全技术档案，并供乙方查询。安全技术档案至少包括以下内容：</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（1） 产品合格证；</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（2） 使用维护说明书；</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（3） 电气原理图；</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（4） 电气敷设图；</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（5） 安装说明书；</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（6） 电梯整机、安全部件和主要部件型式试验报告结论副本或结论；</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（7） 电梯运行记录；</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（8） 故障及事故记录；</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（9） 电梯施工自检记录；</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（10）上年度的检验报告。</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4、保持</w:t>
      </w:r>
      <w:r>
        <w:rPr>
          <w:rFonts w:hint="eastAsia" w:ascii="宋体" w:hAnsi="宋体" w:eastAsia="宋体" w:cs="宋体"/>
          <w:b/>
          <w:color w:val="000000"/>
          <w:kern w:val="0"/>
          <w:sz w:val="24"/>
          <w:szCs w:val="24"/>
        </w:rPr>
        <w:t>电梯紧急报警装置能够随时与值班人员有效联系</w:t>
      </w:r>
      <w:r>
        <w:rPr>
          <w:rFonts w:hint="eastAsia" w:ascii="宋体" w:hAnsi="宋体" w:eastAsia="宋体" w:cs="宋体"/>
          <w:color w:val="000000"/>
          <w:kern w:val="0"/>
          <w:sz w:val="24"/>
          <w:szCs w:val="24"/>
        </w:rPr>
        <w:t>。</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5、在电梯轿厢内或者出入口的明显位置张贴有效的《安全检验合格》标志及标明应急救援电话和维护保养单位名称及救援电话。</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6、甲</w:t>
      </w:r>
      <w:r>
        <w:rPr>
          <w:rFonts w:hint="eastAsia" w:ascii="宋体" w:hAnsi="宋体" w:eastAsia="宋体" w:cs="Times New Roman"/>
          <w:color w:val="000000"/>
          <w:sz w:val="24"/>
          <w:szCs w:val="24"/>
        </w:rPr>
        <w:t>方</w:t>
      </w:r>
      <w:r>
        <w:rPr>
          <w:rFonts w:hint="eastAsia" w:ascii="宋体" w:hAnsi="宋体" w:eastAsia="宋体" w:cs="宋体"/>
          <w:color w:val="000000"/>
          <w:kern w:val="0"/>
          <w:sz w:val="24"/>
          <w:szCs w:val="24"/>
        </w:rPr>
        <w:t>制定出现突发事件或者事故的应急措施与救援预案并定期演练；电梯发生困人时，及时采取措施，安抚乘客，组织乙方作业人员实施救援；在电梯出现故障或者发生异常情况时，组织对其进行全面检查，消除电梯事故隐患后再投入使用；电梯发生事故时，按照应急救援预案组织应急救援，排险和抢救，保护事故现场，并立即报告市质监局和其他有关部门。</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Times New Roman"/>
          <w:b/>
          <w:color w:val="000000"/>
          <w:sz w:val="24"/>
          <w:szCs w:val="24"/>
        </w:rPr>
        <w:t>甲方配备电梯安全管理人员</w:t>
      </w:r>
      <w:r>
        <w:rPr>
          <w:rFonts w:hint="eastAsia" w:ascii="宋体" w:hAnsi="宋体" w:eastAsia="宋体" w:cs="宋体-18030"/>
          <w:b/>
          <w:color w:val="000000"/>
          <w:kern w:val="0"/>
          <w:sz w:val="24"/>
          <w:szCs w:val="24"/>
        </w:rPr>
        <w:t>负责电梯的日常安全管理：</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（1）进行电梯运行的日常巡视，记录电梯日常使用状况；</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（2）妥善保管电梯钥匙及其安全提示牌；</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（3）制定和落实电梯的定期检验计划；</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（4）发现电梯运行事故隐患立即报告本单位负责人和乙方；</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（5）接到故障报警后，立即赶赴现场，组织</w:t>
      </w:r>
      <w:r>
        <w:rPr>
          <w:rFonts w:hint="eastAsia" w:ascii="宋体" w:hAnsi="宋体" w:eastAsia="宋体" w:cs="宋体"/>
          <w:color w:val="000000"/>
          <w:kern w:val="0"/>
          <w:sz w:val="24"/>
          <w:szCs w:val="24"/>
        </w:rPr>
        <w:t>乙</w:t>
      </w:r>
      <w:r>
        <w:rPr>
          <w:rFonts w:hint="eastAsia" w:ascii="宋体" w:hAnsi="宋体" w:eastAsia="宋体" w:cs="ËÎÌå"/>
          <w:color w:val="000000"/>
          <w:kern w:val="0"/>
          <w:sz w:val="24"/>
          <w:szCs w:val="24"/>
        </w:rPr>
        <w:t>方作业人员实施救援；</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ËÎÌå"/>
          <w:color w:val="000000"/>
          <w:kern w:val="0"/>
          <w:sz w:val="24"/>
          <w:szCs w:val="24"/>
        </w:rPr>
        <w:t>（6）负责对</w:t>
      </w:r>
      <w:r>
        <w:rPr>
          <w:rFonts w:hint="eastAsia" w:ascii="宋体" w:hAnsi="宋体" w:eastAsia="宋体" w:cs="宋体"/>
          <w:color w:val="000000"/>
          <w:kern w:val="0"/>
          <w:sz w:val="24"/>
          <w:szCs w:val="24"/>
        </w:rPr>
        <w:t>乙</w:t>
      </w:r>
      <w:r>
        <w:rPr>
          <w:rFonts w:hint="eastAsia" w:ascii="宋体" w:hAnsi="宋体" w:eastAsia="宋体" w:cs="ËÎÌå"/>
          <w:color w:val="000000"/>
          <w:kern w:val="0"/>
          <w:sz w:val="24"/>
          <w:szCs w:val="24"/>
        </w:rPr>
        <w:t>方的维护保养记录签字确认；</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ËÎÌå"/>
          <w:color w:val="000000"/>
          <w:kern w:val="0"/>
          <w:sz w:val="24"/>
          <w:szCs w:val="24"/>
        </w:rPr>
        <w:t>（7）负责对</w:t>
      </w:r>
      <w:r>
        <w:rPr>
          <w:rFonts w:hint="eastAsia" w:ascii="宋体" w:hAnsi="宋体" w:eastAsia="宋体" w:cs="宋体"/>
          <w:color w:val="000000"/>
          <w:kern w:val="0"/>
          <w:sz w:val="24"/>
          <w:szCs w:val="24"/>
        </w:rPr>
        <w:t>乙</w:t>
      </w:r>
      <w:r>
        <w:rPr>
          <w:rFonts w:hint="eastAsia" w:ascii="宋体" w:hAnsi="宋体" w:eastAsia="宋体" w:cs="ËÎÌå"/>
          <w:color w:val="000000"/>
          <w:kern w:val="0"/>
          <w:sz w:val="24"/>
          <w:szCs w:val="24"/>
        </w:rPr>
        <w:t>方提交的电梯安全隐患提示单签字确认；</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Times New Roman"/>
          <w:color w:val="000000"/>
          <w:sz w:val="24"/>
          <w:szCs w:val="24"/>
        </w:rPr>
        <w:t>8、如果更换电梯安全管理人员，应当及时通知</w:t>
      </w:r>
      <w:r>
        <w:rPr>
          <w:rFonts w:hint="eastAsia" w:ascii="宋体" w:hAnsi="宋体" w:eastAsia="宋体" w:cs="宋体"/>
          <w:color w:val="000000"/>
          <w:kern w:val="0"/>
          <w:sz w:val="24"/>
          <w:szCs w:val="24"/>
        </w:rPr>
        <w:t>乙</w:t>
      </w:r>
      <w:r>
        <w:rPr>
          <w:rFonts w:hint="eastAsia" w:ascii="宋体" w:hAnsi="宋体" w:eastAsia="宋体" w:cs="Times New Roman"/>
          <w:color w:val="000000"/>
          <w:sz w:val="24"/>
          <w:szCs w:val="24"/>
        </w:rPr>
        <w:t>方。</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Times New Roman"/>
          <w:color w:val="000000"/>
          <w:sz w:val="24"/>
          <w:szCs w:val="24"/>
        </w:rPr>
        <w:t>9、除</w:t>
      </w:r>
      <w:r>
        <w:rPr>
          <w:rFonts w:hint="eastAsia" w:ascii="宋体" w:hAnsi="宋体" w:eastAsia="宋体" w:cs="宋体"/>
          <w:color w:val="000000"/>
          <w:kern w:val="0"/>
          <w:sz w:val="24"/>
          <w:szCs w:val="24"/>
        </w:rPr>
        <w:t>乙</w:t>
      </w:r>
      <w:r>
        <w:rPr>
          <w:rFonts w:hint="eastAsia" w:ascii="宋体" w:hAnsi="宋体" w:eastAsia="宋体" w:cs="Times New Roman"/>
          <w:color w:val="000000"/>
          <w:sz w:val="24"/>
          <w:szCs w:val="24"/>
        </w:rPr>
        <w:t>方无法解决的情况外，未经</w:t>
      </w:r>
      <w:r>
        <w:rPr>
          <w:rFonts w:hint="eastAsia" w:ascii="宋体" w:hAnsi="宋体" w:eastAsia="宋体" w:cs="宋体"/>
          <w:color w:val="000000"/>
          <w:kern w:val="0"/>
          <w:sz w:val="24"/>
          <w:szCs w:val="24"/>
        </w:rPr>
        <w:t>乙方书面许可不得允许非乙方人员从事与电梯维护保养有关的工作。</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Times New Roman"/>
          <w:color w:val="000000"/>
          <w:sz w:val="24"/>
          <w:szCs w:val="24"/>
        </w:rPr>
        <w:t>10、甲方应当</w:t>
      </w:r>
      <w:r>
        <w:rPr>
          <w:rFonts w:hint="eastAsia" w:ascii="宋体" w:hAnsi="宋体" w:eastAsia="宋体" w:cs="宋体"/>
          <w:color w:val="000000"/>
          <w:kern w:val="0"/>
          <w:sz w:val="24"/>
          <w:szCs w:val="24"/>
        </w:rPr>
        <w:t>为乙方提供维护保养所需的工作环境及配合维护保养工作。</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Times New Roman"/>
          <w:color w:val="000000"/>
          <w:sz w:val="24"/>
          <w:szCs w:val="24"/>
        </w:rPr>
        <w:t>11、甲方</w:t>
      </w:r>
      <w:r>
        <w:rPr>
          <w:rFonts w:hint="eastAsia" w:ascii="宋体" w:hAnsi="宋体" w:eastAsia="宋体" w:cs="宋体"/>
          <w:color w:val="000000"/>
          <w:kern w:val="0"/>
          <w:sz w:val="24"/>
          <w:szCs w:val="24"/>
        </w:rPr>
        <w:t>应当在电梯安全检验合格有效期届满前</w:t>
      </w:r>
      <w:r>
        <w:rPr>
          <w:rFonts w:hint="eastAsia" w:ascii="宋体" w:hAnsi="宋体" w:eastAsia="宋体" w:cs="ËÎÌå"/>
          <w:color w:val="000000"/>
          <w:kern w:val="0"/>
          <w:sz w:val="24"/>
          <w:szCs w:val="24"/>
        </w:rPr>
        <w:t xml:space="preserve">1 </w:t>
      </w:r>
      <w:r>
        <w:rPr>
          <w:rFonts w:hint="eastAsia" w:ascii="宋体" w:hAnsi="宋体" w:eastAsia="宋体" w:cs="宋体"/>
          <w:color w:val="000000"/>
          <w:kern w:val="0"/>
          <w:sz w:val="24"/>
          <w:szCs w:val="24"/>
        </w:rPr>
        <w:t>个月，向电梯检验检测机构提出定期检验申请。</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第十一条  乙方权利、义务</w:t>
      </w:r>
    </w:p>
    <w:p>
      <w:pPr>
        <w:spacing w:line="360" w:lineRule="auto"/>
        <w:ind w:firstLine="482" w:firstLineChars="200"/>
        <w:rPr>
          <w:rFonts w:ascii="宋体" w:hAnsi="宋体" w:eastAsia="宋体" w:cs="Times New Roman"/>
          <w:b/>
          <w:color w:val="000000"/>
          <w:sz w:val="24"/>
          <w:szCs w:val="24"/>
        </w:rPr>
      </w:pPr>
      <w:r>
        <w:rPr>
          <w:rFonts w:hint="eastAsia" w:ascii="宋体" w:hAnsi="宋体" w:eastAsia="宋体" w:cs="黑体"/>
          <w:b/>
          <w:color w:val="000000"/>
          <w:kern w:val="0"/>
          <w:sz w:val="24"/>
          <w:szCs w:val="24"/>
        </w:rPr>
        <w:t>（一）</w:t>
      </w:r>
      <w:r>
        <w:rPr>
          <w:rFonts w:hint="eastAsia" w:ascii="宋体" w:hAnsi="宋体" w:eastAsia="宋体" w:cs="Times New Roman"/>
          <w:b/>
          <w:color w:val="000000"/>
          <w:sz w:val="24"/>
          <w:szCs w:val="24"/>
        </w:rPr>
        <w:t>权利</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1、有权要求甲方提供维护保养所需的工作环境及相关资料。</w:t>
      </w:r>
    </w:p>
    <w:p>
      <w:pPr>
        <w:spacing w:line="360" w:lineRule="auto"/>
        <w:ind w:left="840" w:hanging="840" w:hangingChars="35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2、有权拒绝甲方提出的影响电梯安全运行的要求。</w:t>
      </w:r>
    </w:p>
    <w:p>
      <w:pPr>
        <w:spacing w:line="360" w:lineRule="auto"/>
        <w:ind w:left="840" w:leftChars="228" w:hanging="361" w:hangingChars="150"/>
        <w:rPr>
          <w:rFonts w:ascii="宋体" w:hAnsi="宋体" w:eastAsia="宋体" w:cs="Times New Roman"/>
          <w:color w:val="000000"/>
          <w:sz w:val="24"/>
          <w:szCs w:val="24"/>
        </w:rPr>
      </w:pPr>
      <w:r>
        <w:rPr>
          <w:rFonts w:hint="eastAsia" w:ascii="宋体" w:hAnsi="宋体" w:eastAsia="宋体" w:cs="Times New Roman"/>
          <w:b/>
          <w:color w:val="000000"/>
          <w:sz w:val="24"/>
          <w:szCs w:val="24"/>
        </w:rPr>
        <w:t>（二）义务</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1、应当具备特种设备安全监督管理部门核发的相应许可，并向甲方提交加盖公章的营业执照和《特种设备安装改造维修许可证》复印件作为本合同的附件。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2、按照《电梯使用管理与维护保养规则》（</w:t>
      </w:r>
      <w:r>
        <w:rPr>
          <w:rFonts w:hint="eastAsia" w:ascii="宋体" w:hAnsi="宋体" w:eastAsia="宋体" w:cs="Times New Roman"/>
          <w:color w:val="000000"/>
          <w:kern w:val="0"/>
          <w:sz w:val="24"/>
          <w:szCs w:val="24"/>
        </w:rPr>
        <w:t>TSGT5002-2017</w:t>
      </w:r>
      <w:r>
        <w:rPr>
          <w:rFonts w:hint="eastAsia" w:ascii="宋体" w:hAnsi="宋体" w:eastAsia="宋体" w:cs="Times New Roman"/>
          <w:color w:val="000000"/>
          <w:sz w:val="24"/>
          <w:szCs w:val="24"/>
        </w:rPr>
        <w:t>）及其有关安全技术规范以及电梯产品安装使用维护说明书的要求，制定维保方案，确保维保电梯的安全性能；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3、设立24小时维保值班电话，保证接到故障通知后及时予以排除，接到电梯困人故障报告后，维修人员及时抵达所维保电梯所在地实施现场救援，抵达时间不超过20分钟。</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4、建立每部电梯的维护记录和故障记录，并归入甲方电梯技术档案；</w:t>
      </w:r>
    </w:p>
    <w:p>
      <w:pPr>
        <w:spacing w:line="360" w:lineRule="auto"/>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5、协助甲方制定电梯的安全管理制度和应急救援预案，安排维保人员配合甲方和检验机构进行电梯的定期检验；</w:t>
      </w:r>
    </w:p>
    <w:p>
      <w:pPr>
        <w:spacing w:line="360" w:lineRule="auto"/>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6、在维保过程中，发现事故隐患及时告知甲方；发现严重事故隐患及时向当地质量技术监督部门报告，并通知甲方停止使用电梯。</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7、现场作业人员不得少于两人，且应当取得相应的《特种设备作业人员证》。作业中应当负责落实现场安全防护措施，保证作业安全。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8、向甲方提出合理化建议并</w:t>
      </w:r>
      <w:r>
        <w:rPr>
          <w:rFonts w:hint="eastAsia" w:ascii="宋体" w:hAnsi="宋体" w:eastAsia="宋体" w:cs="宋体"/>
          <w:color w:val="000000"/>
          <w:kern w:val="0"/>
          <w:sz w:val="24"/>
          <w:szCs w:val="24"/>
        </w:rPr>
        <w:t>每月向</w:t>
      </w:r>
      <w:r>
        <w:rPr>
          <w:rFonts w:hint="eastAsia" w:ascii="宋体" w:hAnsi="宋体" w:eastAsia="宋体" w:cs="Times New Roman"/>
          <w:color w:val="000000"/>
          <w:kern w:val="0"/>
          <w:sz w:val="24"/>
          <w:szCs w:val="24"/>
        </w:rPr>
        <w:t>甲</w:t>
      </w:r>
      <w:r>
        <w:rPr>
          <w:rFonts w:hint="eastAsia" w:ascii="宋体" w:hAnsi="宋体" w:eastAsia="宋体" w:cs="宋体"/>
          <w:color w:val="000000"/>
          <w:kern w:val="0"/>
          <w:sz w:val="24"/>
          <w:szCs w:val="24"/>
        </w:rPr>
        <w:t>方书面报告所维护保养电梯的运行情况、零部件使用情况、易损件的更换情况及</w:t>
      </w:r>
      <w:r>
        <w:rPr>
          <w:rFonts w:hint="eastAsia" w:ascii="宋体" w:hAnsi="宋体" w:eastAsia="宋体" w:cs="Times New Roman"/>
          <w:color w:val="000000"/>
          <w:sz w:val="24"/>
          <w:szCs w:val="24"/>
        </w:rPr>
        <w:t>电梯更换修理需求</w:t>
      </w:r>
      <w:r>
        <w:rPr>
          <w:rFonts w:hint="eastAsia" w:ascii="宋体" w:hAnsi="宋体" w:eastAsia="宋体" w:cs="宋体"/>
          <w:color w:val="000000"/>
          <w:kern w:val="0"/>
          <w:sz w:val="24"/>
          <w:szCs w:val="24"/>
        </w:rPr>
        <w:t>。对所维护保养电梯的安全运行负责，保障设备整机及零部件完整无损。</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9、不得以任何形式分包、转包。</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第十二条  违约责任</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（一）一方当事人未按约定履行义务给对方造成直接损失的，应当承担赔偿责任。</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（二）一方当事人无法继续履行合同的，应当提前三十天通知另一方，并由责任方承担因合同解除而造成的损失。</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（三） 甲方无正当理由未按照约定期限支付费用的，每延误一日应当向乙方支付延误部分费用万分之五的违约金。</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（四）乙方违反约定允许</w:t>
      </w:r>
      <w:r>
        <w:rPr>
          <w:rFonts w:hint="eastAsia" w:ascii="宋体" w:hAnsi="宋体" w:eastAsia="宋体" w:cs="宋体"/>
          <w:color w:val="000000"/>
          <w:kern w:val="0"/>
          <w:sz w:val="24"/>
          <w:szCs w:val="24"/>
        </w:rPr>
        <w:t>非乙方</w:t>
      </w:r>
      <w:r>
        <w:rPr>
          <w:rFonts w:hint="eastAsia" w:ascii="宋体" w:hAnsi="宋体" w:eastAsia="宋体" w:cs="Times New Roman"/>
          <w:color w:val="000000"/>
          <w:sz w:val="24"/>
          <w:szCs w:val="24"/>
        </w:rPr>
        <w:t>人员从事电梯维护保养工作的，应当按照违约责任中的第3条标准支付违约金。</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（五）因电梯使用等原因导致人身伤亡或设备损坏、丢失的，由责任方自行承担全部责任。</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（六）乙方的维护保养工作不符合合同约定的维护保养标准或要求的，乙方应当返工，如造成损失，应予以全额赔偿。</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（七）因维护保养原因导致人身伤亡或设备损坏、丢失的，由乙方承担全部责任。</w:t>
      </w:r>
    </w:p>
    <w:p>
      <w:pPr>
        <w:spacing w:line="360" w:lineRule="auto"/>
        <w:ind w:firstLine="480" w:firstLineChars="200"/>
        <w:rPr>
          <w:rFonts w:ascii="宋体" w:hAnsi="宋体" w:eastAsia="宋体" w:cs="Times New Roman"/>
          <w:color w:val="FF0000"/>
          <w:sz w:val="24"/>
          <w:szCs w:val="24"/>
        </w:rPr>
      </w:pPr>
      <w:r>
        <w:rPr>
          <w:rFonts w:hint="eastAsia" w:ascii="宋体" w:hAnsi="宋体" w:eastAsia="宋体" w:cs="Times New Roman"/>
          <w:color w:val="000000"/>
          <w:sz w:val="24"/>
          <w:szCs w:val="24"/>
        </w:rPr>
        <w:t>（八）因维护保养原因导致电梯检验检测不合格的，乙方还应当承担电梯复验费用。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（九）合同终止或解除时，乙方不得进行影响电梯正常使用的技术加密。</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第十三条  合同的解除</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（一）甲乙双方协商一致，可以解除合同。</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（二）任何一方严重违约导致合同无法继续履行的，另一方可以解除合同。此外任何一方不得单方解除合同。</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第十四条  争议解决方式</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本合同在履行过程中发生的争议，由双方当事人协商解决或向有关部门申请调解，协商、调解不成的，按照下列第（一）种方式解决（任选一种）：</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（一）依法向</w:t>
      </w:r>
      <w:r>
        <w:rPr>
          <w:rFonts w:hint="eastAsia" w:ascii="宋体" w:hAnsi="宋体" w:eastAsia="宋体" w:cs="Times New Roman"/>
          <w:color w:val="000000"/>
          <w:sz w:val="24"/>
          <w:szCs w:val="24"/>
          <w:u w:val="single"/>
        </w:rPr>
        <w:t xml:space="preserve"> 南通市 </w:t>
      </w:r>
      <w:r>
        <w:rPr>
          <w:rFonts w:hint="eastAsia" w:ascii="宋体" w:hAnsi="宋体" w:eastAsia="宋体" w:cs="Times New Roman"/>
          <w:color w:val="000000"/>
          <w:sz w:val="24"/>
          <w:szCs w:val="24"/>
        </w:rPr>
        <w:t>人民法院提起诉讼；</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（二）提交 </w:t>
      </w:r>
      <w:r>
        <w:rPr>
          <w:rFonts w:hint="eastAsia" w:ascii="宋体" w:hAnsi="宋体" w:eastAsia="宋体" w:cs="Times New Roman"/>
          <w:color w:val="000000"/>
          <w:sz w:val="24"/>
          <w:szCs w:val="24"/>
          <w:u w:val="single"/>
        </w:rPr>
        <w:t xml:space="preserve">  南通 （所在地）</w:t>
      </w:r>
      <w:r>
        <w:rPr>
          <w:rFonts w:hint="eastAsia" w:ascii="宋体" w:hAnsi="宋体" w:eastAsia="宋体" w:cs="Times New Roman"/>
          <w:color w:val="000000"/>
          <w:sz w:val="24"/>
          <w:szCs w:val="24"/>
        </w:rPr>
        <w:t>仲裁委员会仲裁。</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第十五条  其他约定</w:t>
      </w:r>
    </w:p>
    <w:p>
      <w:pPr>
        <w:spacing w:line="360" w:lineRule="auto"/>
        <w:ind w:firstLine="480" w:firstLineChars="200"/>
        <w:rPr>
          <w:rFonts w:ascii="宋体" w:hAnsi="宋体" w:eastAsia="宋体" w:cs="宋体"/>
          <w:bCs/>
          <w:sz w:val="24"/>
          <w:szCs w:val="24"/>
        </w:rPr>
      </w:pPr>
      <w:r>
        <w:rPr>
          <w:rFonts w:hint="eastAsia" w:ascii="宋体" w:hAnsi="宋体" w:eastAsia="宋体" w:cs="Times New Roman"/>
          <w:bCs/>
          <w:color w:val="000000"/>
          <w:sz w:val="24"/>
          <w:szCs w:val="24"/>
        </w:rPr>
        <w:t>（一）</w:t>
      </w:r>
      <w:r>
        <w:rPr>
          <w:rFonts w:hint="eastAsia" w:ascii="宋体" w:hAnsi="宋体" w:eastAsia="宋体" w:cs="宋体"/>
          <w:bCs/>
          <w:sz w:val="24"/>
          <w:szCs w:val="24"/>
        </w:rPr>
        <w:t>招标文件、乙方投标文件及其他附件皆为本合同重要组成部分与本合同具有同等法律效力。</w:t>
      </w:r>
    </w:p>
    <w:p>
      <w:pPr>
        <w:spacing w:line="360" w:lineRule="auto"/>
        <w:ind w:firstLine="480" w:firstLineChars="200"/>
        <w:rPr>
          <w:rFonts w:ascii="宋体" w:hAnsi="宋体" w:eastAsia="宋体" w:cs="Times New Roman"/>
          <w:szCs w:val="24"/>
        </w:rPr>
      </w:pPr>
      <w:r>
        <w:rPr>
          <w:rFonts w:hint="eastAsia" w:ascii="宋体" w:hAnsi="宋体" w:eastAsia="宋体" w:cs="Times New Roman"/>
          <w:color w:val="000000"/>
          <w:sz w:val="24"/>
          <w:szCs w:val="24"/>
        </w:rPr>
        <w:t>（二）普通维修、重大维修、改造或甲方要求甲方提供本合同约定以外的增值服务的，双方均应当以书面形式另行约定。</w:t>
      </w:r>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rPr>
        <w:t>（三）</w:t>
      </w:r>
      <w:r>
        <w:rPr>
          <w:rFonts w:hint="eastAsia" w:ascii="宋体" w:hAnsi="宋体" w:eastAsia="宋体" w:cs="Times New Roman"/>
          <w:b/>
          <w:color w:val="000000"/>
          <w:sz w:val="24"/>
          <w:szCs w:val="24"/>
        </w:rPr>
        <w:t>维护保养记录是记载电梯运行、维护、保养的依据。</w:t>
      </w:r>
    </w:p>
    <w:p>
      <w:pPr>
        <w:spacing w:line="360" w:lineRule="auto"/>
        <w:ind w:firstLine="480" w:firstLineChars="200"/>
        <w:rPr>
          <w:rFonts w:ascii="宋体" w:hAnsi="宋体" w:eastAsia="宋体" w:cs="ËÎÌå"/>
          <w:color w:val="000000"/>
          <w:kern w:val="0"/>
          <w:sz w:val="24"/>
          <w:szCs w:val="24"/>
        </w:rPr>
      </w:pPr>
      <w:r>
        <w:rPr>
          <w:rFonts w:hint="eastAsia" w:ascii="宋体" w:hAnsi="宋体" w:eastAsia="宋体" w:cs="Times New Roman"/>
          <w:color w:val="000000"/>
          <w:sz w:val="24"/>
          <w:szCs w:val="24"/>
        </w:rPr>
        <w:t>每台电梯均应当建立独立的</w:t>
      </w:r>
      <w:r>
        <w:rPr>
          <w:rFonts w:hint="eastAsia" w:ascii="宋体" w:hAnsi="宋体" w:eastAsia="宋体" w:cs="宋体"/>
          <w:color w:val="000000"/>
          <w:kern w:val="0"/>
          <w:sz w:val="24"/>
          <w:szCs w:val="24"/>
        </w:rPr>
        <w:t>维护保养记录。维护保养记录应当一式两份，甲乙双方各保存一份，保存时间为4 年。普通维修、重大维修、改造协议与抢修记录均应当与维护保养记录一并保存。</w:t>
      </w:r>
    </w:p>
    <w:p>
      <w:pPr>
        <w:spacing w:line="360" w:lineRule="auto"/>
        <w:rPr>
          <w:rFonts w:ascii="宋体" w:hAnsi="宋体" w:eastAsia="宋体" w:cs="ËÎÌå"/>
          <w:b/>
          <w:bCs/>
          <w:color w:val="000000"/>
          <w:kern w:val="0"/>
          <w:sz w:val="24"/>
          <w:szCs w:val="24"/>
        </w:rPr>
      </w:pPr>
      <w:r>
        <w:rPr>
          <w:rFonts w:hint="eastAsia" w:ascii="宋体" w:hAnsi="宋体" w:eastAsia="宋体" w:cs="ËÎÌå"/>
          <w:b/>
          <w:bCs/>
          <w:color w:val="000000"/>
          <w:kern w:val="0"/>
          <w:sz w:val="24"/>
          <w:szCs w:val="24"/>
        </w:rPr>
        <w:t>第十六条  附则</w:t>
      </w:r>
    </w:p>
    <w:p>
      <w:pPr>
        <w:spacing w:line="360" w:lineRule="auto"/>
        <w:rPr>
          <w:rFonts w:ascii="宋体" w:hAnsi="宋体" w:eastAsia="宋体" w:cs="宋体"/>
          <w:b/>
          <w:color w:val="000000"/>
          <w:kern w:val="0"/>
          <w:sz w:val="24"/>
          <w:szCs w:val="24"/>
        </w:rPr>
      </w:pPr>
      <w:r>
        <w:rPr>
          <w:rFonts w:hint="eastAsia" w:ascii="宋体" w:hAnsi="宋体" w:eastAsia="宋体" w:cs="Times New Roman"/>
          <w:color w:val="000000"/>
          <w:sz w:val="24"/>
          <w:szCs w:val="24"/>
        </w:rPr>
        <w:t xml:space="preserve">    </w:t>
      </w:r>
      <w:r>
        <w:rPr>
          <w:rFonts w:hint="eastAsia" w:ascii="宋体" w:hAnsi="宋体" w:eastAsia="宋体" w:cs="Times New Roman"/>
          <w:b/>
          <w:color w:val="000000"/>
          <w:sz w:val="24"/>
          <w:szCs w:val="24"/>
        </w:rPr>
        <w:t xml:space="preserve"> 1、</w:t>
      </w:r>
      <w:r>
        <w:rPr>
          <w:rFonts w:hint="eastAsia" w:ascii="宋体" w:hAnsi="宋体" w:eastAsia="宋体" w:cs="Times New Roman"/>
          <w:color w:val="000000"/>
          <w:sz w:val="24"/>
          <w:szCs w:val="24"/>
        </w:rPr>
        <w:t>本合同中对电梯的日常管理工作由</w:t>
      </w:r>
      <w:r>
        <w:rPr>
          <w:rFonts w:hint="eastAsia" w:ascii="宋体" w:hAnsi="宋体" w:eastAsia="宋体" w:cs="宋体"/>
          <w:b/>
          <w:color w:val="000000"/>
          <w:kern w:val="0"/>
          <w:sz w:val="24"/>
          <w:szCs w:val="24"/>
        </w:rPr>
        <w:t>南通农副产品物流有限公司</w:t>
      </w:r>
      <w:r>
        <w:rPr>
          <w:rFonts w:hint="eastAsia" w:ascii="宋体" w:hAnsi="宋体" w:eastAsia="宋体" w:cs="宋体"/>
          <w:color w:val="000000"/>
          <w:kern w:val="0"/>
          <w:sz w:val="24"/>
          <w:szCs w:val="24"/>
        </w:rPr>
        <w:t>负责。</w:t>
      </w:r>
    </w:p>
    <w:p>
      <w:pPr>
        <w:spacing w:line="360" w:lineRule="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2、如果管理单位发生变更后，需要重新签订补充协议。</w:t>
      </w:r>
    </w:p>
    <w:p>
      <w:pPr>
        <w:spacing w:line="360" w:lineRule="auto"/>
        <w:ind w:firstLine="600" w:firstLineChars="25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本合同自</w:t>
      </w:r>
      <w:r>
        <w:rPr>
          <w:rFonts w:hint="eastAsia" w:ascii="宋体" w:hAnsi="宋体" w:eastAsia="宋体" w:cs="Times New Roman"/>
          <w:color w:val="000000"/>
          <w:sz w:val="24"/>
          <w:szCs w:val="24"/>
          <w:u w:val="single"/>
        </w:rPr>
        <w:t xml:space="preserve">  双方签字盖章后  </w:t>
      </w:r>
      <w:r>
        <w:rPr>
          <w:rFonts w:hint="eastAsia" w:ascii="宋体" w:hAnsi="宋体" w:eastAsia="宋体" w:cs="Times New Roman"/>
          <w:color w:val="000000"/>
          <w:sz w:val="24"/>
          <w:szCs w:val="24"/>
        </w:rPr>
        <w:t>生效。本合同生效后，双方对合同内容的变更或补充应当采取书面形式，并经双方签字确认，作为本合同的附件。附件与本合同具有同等的法律效力。</w:t>
      </w:r>
    </w:p>
    <w:p>
      <w:pPr>
        <w:spacing w:line="360" w:lineRule="auto"/>
        <w:ind w:firstLine="465"/>
        <w:rPr>
          <w:rFonts w:ascii="宋体" w:hAnsi="宋体" w:eastAsia="宋体" w:cs="Times New Roman"/>
          <w:color w:val="000000"/>
          <w:sz w:val="24"/>
          <w:szCs w:val="24"/>
        </w:rPr>
      </w:pPr>
      <w:r>
        <w:rPr>
          <w:rFonts w:hint="eastAsia" w:ascii="宋体" w:hAnsi="宋体" w:eastAsia="宋体" w:cs="Times New Roman"/>
          <w:color w:val="000000"/>
          <w:sz w:val="24"/>
          <w:szCs w:val="24"/>
        </w:rPr>
        <w:t>本合同一式</w:t>
      </w:r>
      <w:r>
        <w:rPr>
          <w:rFonts w:hint="eastAsia" w:ascii="宋体" w:hAnsi="宋体" w:eastAsia="宋体" w:cs="Times New Roman"/>
          <w:color w:val="000000"/>
          <w:sz w:val="24"/>
          <w:szCs w:val="24"/>
          <w:u w:val="single"/>
        </w:rPr>
        <w:t xml:space="preserve"> 陆 </w:t>
      </w:r>
      <w:r>
        <w:rPr>
          <w:rFonts w:hint="eastAsia" w:ascii="宋体" w:hAnsi="宋体" w:eastAsia="宋体" w:cs="Times New Roman"/>
          <w:color w:val="000000"/>
          <w:sz w:val="24"/>
          <w:szCs w:val="24"/>
        </w:rPr>
        <w:t>份，甲方执</w:t>
      </w:r>
      <w:r>
        <w:rPr>
          <w:rFonts w:hint="eastAsia" w:ascii="宋体" w:hAnsi="宋体" w:eastAsia="宋体" w:cs="Times New Roman"/>
          <w:color w:val="000000"/>
          <w:sz w:val="24"/>
          <w:szCs w:val="24"/>
          <w:u w:val="single"/>
        </w:rPr>
        <w:t xml:space="preserve">  肆  </w:t>
      </w:r>
      <w:r>
        <w:rPr>
          <w:rFonts w:hint="eastAsia" w:ascii="宋体" w:hAnsi="宋体" w:eastAsia="宋体" w:cs="Times New Roman"/>
          <w:color w:val="000000"/>
          <w:sz w:val="24"/>
          <w:szCs w:val="24"/>
        </w:rPr>
        <w:t>份，乙方执</w:t>
      </w:r>
      <w:r>
        <w:rPr>
          <w:rFonts w:hint="eastAsia" w:ascii="宋体" w:hAnsi="宋体" w:eastAsia="宋体" w:cs="Times New Roman"/>
          <w:color w:val="000000"/>
          <w:sz w:val="24"/>
          <w:szCs w:val="24"/>
          <w:u w:val="single"/>
        </w:rPr>
        <w:t xml:space="preserve">  贰  </w:t>
      </w:r>
      <w:r>
        <w:rPr>
          <w:rFonts w:hint="eastAsia" w:ascii="宋体" w:hAnsi="宋体" w:eastAsia="宋体" w:cs="Times New Roman"/>
          <w:color w:val="000000"/>
          <w:sz w:val="24"/>
          <w:szCs w:val="24"/>
        </w:rPr>
        <w:t>份。</w:t>
      </w:r>
    </w:p>
    <w:p>
      <w:pPr>
        <w:spacing w:line="360" w:lineRule="auto"/>
        <w:ind w:firstLine="465"/>
        <w:rPr>
          <w:rFonts w:ascii="宋体" w:hAnsi="宋体" w:eastAsia="宋体" w:cs="Times New Roman"/>
          <w:b/>
          <w:color w:val="000000"/>
          <w:sz w:val="24"/>
          <w:szCs w:val="24"/>
        </w:rPr>
      </w:pP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 xml:space="preserve">甲方：（签章）                            </w:t>
      </w:r>
      <w:r>
        <w:rPr>
          <w:rFonts w:hint="eastAsia" w:ascii="宋体" w:hAnsi="宋体" w:eastAsia="宋体" w:cs="宋体"/>
          <w:b/>
          <w:bCs/>
          <w:color w:val="000000"/>
          <w:kern w:val="0"/>
          <w:sz w:val="24"/>
          <w:szCs w:val="24"/>
        </w:rPr>
        <w:t>乙方：</w:t>
      </w:r>
    </w:p>
    <w:p>
      <w:pPr>
        <w:spacing w:line="360" w:lineRule="auto"/>
        <w:rPr>
          <w:rFonts w:ascii="宋体" w:hAnsi="宋体" w:eastAsia="宋体" w:cs="宋体"/>
          <w:b/>
          <w:bCs/>
          <w:color w:val="000000"/>
          <w:kern w:val="0"/>
          <w:sz w:val="24"/>
          <w:szCs w:val="24"/>
        </w:rPr>
      </w:pPr>
      <w:r>
        <w:rPr>
          <w:rFonts w:hint="eastAsia" w:ascii="宋体" w:hAnsi="宋体" w:eastAsia="宋体" w:cs="Times New Roman"/>
          <w:b/>
          <w:sz w:val="24"/>
          <w:szCs w:val="24"/>
        </w:rPr>
        <w:t xml:space="preserve">南通农副产品物流有限公司 </w:t>
      </w:r>
      <w:r>
        <w:rPr>
          <w:rFonts w:hint="eastAsia" w:ascii="宋体" w:hAnsi="宋体" w:eastAsia="宋体" w:cs="Times New Roman"/>
          <w:color w:val="000000"/>
          <w:kern w:val="0"/>
          <w:sz w:val="24"/>
          <w:szCs w:val="24"/>
        </w:rPr>
        <w:t xml:space="preserve">                 </w:t>
      </w:r>
    </w:p>
    <w:p>
      <w:pPr>
        <w:spacing w:line="360" w:lineRule="auto"/>
        <w:rPr>
          <w:rFonts w:ascii="宋体" w:hAnsi="宋体" w:eastAsia="宋体" w:cs="Times New Roman"/>
          <w:color w:val="000000"/>
          <w:sz w:val="24"/>
          <w:szCs w:val="24"/>
        </w:rPr>
      </w:pPr>
      <w:r>
        <w:rPr>
          <w:rFonts w:hint="eastAsia" w:ascii="宋体" w:hAnsi="宋体" w:eastAsia="宋体" w:cs="宋体"/>
          <w:color w:val="000000"/>
          <w:kern w:val="0"/>
          <w:sz w:val="24"/>
          <w:szCs w:val="24"/>
        </w:rPr>
        <w:t>单位负责人：                              营业执照号码：</w:t>
      </w:r>
    </w:p>
    <w:p>
      <w:pPr>
        <w:spacing w:line="360" w:lineRule="auto"/>
        <w:rPr>
          <w:rFonts w:ascii="宋体" w:hAnsi="宋体" w:eastAsia="宋体" w:cs="Times New Roman"/>
          <w:color w:val="000000"/>
          <w:sz w:val="24"/>
          <w:szCs w:val="24"/>
        </w:rPr>
      </w:pPr>
      <w:r>
        <w:rPr>
          <w:rFonts w:hint="eastAsia" w:ascii="宋体" w:hAnsi="宋体" w:eastAsia="宋体" w:cs="宋体"/>
          <w:color w:val="000000"/>
          <w:kern w:val="0"/>
          <w:sz w:val="24"/>
          <w:szCs w:val="24"/>
        </w:rPr>
        <w:t>联系电话：</w:t>
      </w:r>
      <w:r>
        <w:rPr>
          <w:rFonts w:hint="eastAsia" w:ascii="宋体" w:hAnsi="宋体" w:eastAsia="宋体" w:cs="Times New Roman"/>
          <w:color w:val="000000"/>
          <w:sz w:val="24"/>
          <w:szCs w:val="24"/>
        </w:rPr>
        <w:t xml:space="preserve">                                </w:t>
      </w:r>
      <w:r>
        <w:rPr>
          <w:rFonts w:hint="eastAsia" w:ascii="宋体" w:hAnsi="宋体" w:eastAsia="宋体" w:cs="宋体"/>
          <w:color w:val="000000"/>
          <w:kern w:val="0"/>
          <w:sz w:val="24"/>
          <w:szCs w:val="24"/>
        </w:rPr>
        <w:t xml:space="preserve">许可证号码：                                         </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r>
        <w:rPr>
          <w:rFonts w:hint="eastAsia" w:ascii="宋体" w:hAnsi="宋体" w:eastAsia="宋体" w:cs="宋体"/>
          <w:color w:val="000000"/>
          <w:kern w:val="0"/>
          <w:sz w:val="24"/>
          <w:szCs w:val="24"/>
        </w:rPr>
        <w:t>法定代表人：</w:t>
      </w:r>
      <w:r>
        <w:rPr>
          <w:rFonts w:hint="eastAsia" w:ascii="宋体" w:hAnsi="宋体" w:eastAsia="宋体" w:cs="Times New Roman"/>
          <w:color w:val="000000"/>
          <w:sz w:val="24"/>
          <w:szCs w:val="24"/>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b/>
          <w:color w:val="000000"/>
          <w:kern w:val="0"/>
          <w:sz w:val="24"/>
          <w:szCs w:val="24"/>
        </w:rPr>
        <w:t xml:space="preserve">  </w:t>
      </w:r>
      <w:r>
        <w:rPr>
          <w:rFonts w:hint="eastAsia" w:ascii="宋体" w:hAnsi="宋体" w:eastAsia="宋体" w:cs="宋体"/>
          <w:color w:val="000000"/>
          <w:kern w:val="0"/>
          <w:sz w:val="24"/>
          <w:szCs w:val="24"/>
        </w:rPr>
        <w:t xml:space="preserve">                                        联系电话：</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传真电话：</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开户银行：</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帐号：</w:t>
      </w:r>
    </w:p>
    <w:p>
      <w:pPr>
        <w:spacing w:line="360" w:lineRule="auto"/>
        <w:rPr>
          <w:rFonts w:ascii="宋体" w:hAnsi="宋体" w:eastAsia="宋体" w:cs="Times New Roman"/>
          <w:color w:val="000000"/>
          <w:sz w:val="24"/>
          <w:szCs w:val="24"/>
        </w:rPr>
      </w:pPr>
      <w:r>
        <w:rPr>
          <w:rFonts w:hint="eastAsia" w:ascii="宋体" w:hAnsi="宋体" w:eastAsia="宋体" w:cs="宋体"/>
          <w:color w:val="000000"/>
          <w:kern w:val="0"/>
          <w:sz w:val="24"/>
          <w:szCs w:val="24"/>
        </w:rPr>
        <w:t xml:space="preserve">     签约时间：      年     月    日</w:t>
      </w:r>
      <w:r>
        <w:rPr>
          <w:rFonts w:hint="eastAsia" w:ascii="宋体" w:hAnsi="宋体" w:eastAsia="宋体" w:cs="Times New Roman"/>
          <w:color w:val="000000"/>
          <w:sz w:val="24"/>
          <w:szCs w:val="24"/>
        </w:rPr>
        <w:t xml:space="preserve">                              </w:t>
      </w:r>
    </w:p>
    <w:p>
      <w:pPr>
        <w:rPr>
          <w:rFonts w:ascii="宋体" w:hAnsi="宋体" w:eastAsia="宋体" w:cs="宋体"/>
          <w:kern w:val="0"/>
          <w:szCs w:val="24"/>
        </w:rPr>
        <w:sectPr>
          <w:headerReference r:id="rId3" w:type="default"/>
          <w:footerReference r:id="rId4" w:type="default"/>
          <w:pgSz w:w="11906" w:h="16838"/>
          <w:pgMar w:top="1440" w:right="926" w:bottom="1440" w:left="1260" w:header="851" w:footer="992" w:gutter="0"/>
          <w:pgNumType w:start="1"/>
          <w:cols w:space="720" w:num="1"/>
          <w:docGrid w:type="lines" w:linePitch="312" w:charSpace="0"/>
        </w:sectPr>
      </w:pPr>
    </w:p>
    <w:p>
      <w:pPr>
        <w:rPr>
          <w:rFonts w:ascii="宋体" w:hAnsi="宋体" w:eastAsia="宋体" w:cs="Times New Roman"/>
          <w:color w:val="000000"/>
          <w:szCs w:val="24"/>
        </w:rPr>
      </w:pPr>
      <w:r>
        <w:rPr>
          <w:rFonts w:hint="eastAsia" w:ascii="宋体" w:hAnsi="宋体" w:eastAsia="宋体" w:cs="宋体"/>
          <w:kern w:val="0"/>
          <w:sz w:val="28"/>
          <w:szCs w:val="28"/>
        </w:rPr>
        <w:t>附件一：</w:t>
      </w:r>
    </w:p>
    <w:tbl>
      <w:tblPr>
        <w:tblStyle w:val="19"/>
        <w:tblW w:w="0" w:type="auto"/>
        <w:jc w:val="center"/>
        <w:tblLayout w:type="fixed"/>
        <w:tblCellMar>
          <w:top w:w="15" w:type="dxa"/>
          <w:left w:w="15" w:type="dxa"/>
          <w:bottom w:w="15" w:type="dxa"/>
          <w:right w:w="15" w:type="dxa"/>
        </w:tblCellMar>
      </w:tblPr>
      <w:tblGrid>
        <w:gridCol w:w="608"/>
        <w:gridCol w:w="3446"/>
        <w:gridCol w:w="2149"/>
        <w:gridCol w:w="672"/>
        <w:gridCol w:w="701"/>
        <w:gridCol w:w="3071"/>
      </w:tblGrid>
      <w:tr>
        <w:tblPrEx>
          <w:tblCellMar>
            <w:top w:w="15" w:type="dxa"/>
            <w:left w:w="15" w:type="dxa"/>
            <w:bottom w:w="15" w:type="dxa"/>
            <w:right w:w="15" w:type="dxa"/>
          </w:tblCellMar>
        </w:tblPrEx>
        <w:trPr>
          <w:trHeight w:val="283" w:hRule="exact"/>
          <w:jc w:val="center"/>
        </w:trPr>
        <w:tc>
          <w:tcPr>
            <w:tcW w:w="10647" w:type="dxa"/>
            <w:gridSpan w:val="6"/>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电梯配件及价格清单</w:t>
            </w: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序号</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内容</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型号</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单位</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数量</w:t>
            </w: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价格（元）</w:t>
            </w: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三角锁（C2）</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触头P0-Bet.391.146.2156</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触体AIZP</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按钮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滚轮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皮带轮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缓冲圈</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缓冲橡皮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门电动机炭刷</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蜂鸣器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急停开关</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门球</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接触器辅助触头</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门滑块</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滑轮组件（小带轮组件）</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门刀弹簧</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95"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门导轮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重锤钢丝绳</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同步钢丝绳</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偏心轮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风扇电容</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门锁弹簧连座</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原装门头</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原装地坎</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厅门门锁</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轿门门锁</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门刀弹簧</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挂板轮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门机皮带</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层门门锁</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外呼板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厅门门板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门板挂板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门板挂轮（3吨）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防扒门装置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防扒门支架</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门厅自闭弹簧</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变压器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联动门同步带</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变速箱清理、加油</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电梯主板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门机变频器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电梯通讯板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厅门锁</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锁钩组件</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厅门门锁触点、触体</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应急电源电池12VDC/6.3Ah</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熔断器SIA(微型断路器)50A C 3P</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接触器3KW 3P INC 24VDC C.C</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R-继电器模块 230VAC….288-508</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光栅 PHUET</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接触器 SGRW</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轿厢导靴 4402（3T）</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限位开关 型号:QM-S3-1370</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XD厅门161B门锁左（PB152B）</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微动开关PMS420</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操纵厢LOM1.Q接口版</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相序继电器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IGBV200用齿形带</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印板BCM 2.Q</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管状电阻（WBR)</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辅助触点3RH1921-2FJ22</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主开关辅助触点 OA2L11 16A</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V30中分门的重锤组件 用于BT=1000-1100</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双稳态磁开关 型号：KCB-1 限双速梯</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M型呼梯按钮（螺丝固定）</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专业级塑柄受用黄油枪（400cc）-世达 97203</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69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限速器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70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缓冲器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71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曳引轮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72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加油装置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73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对讲电话</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bl>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宋体"/>
          <w:kern w:val="0"/>
          <w:szCs w:val="24"/>
        </w:rPr>
      </w:pPr>
    </w:p>
    <w:p>
      <w:pPr>
        <w:pStyle w:val="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        第六章   投标文件格式</w:t>
      </w:r>
      <w:bookmarkEnd w:id="13"/>
    </w:p>
    <w:p>
      <w:pPr>
        <w:spacing w:beforeLines="50" w:afterLines="50" w:line="360" w:lineRule="auto"/>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一、法人代表委托书原件及被授权人身份证复印件</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u w:val="single"/>
        </w:rPr>
        <w:t>南通农副产品物流有限公司：</w:t>
      </w:r>
    </w:p>
    <w:p>
      <w:pPr>
        <w:spacing w:line="360" w:lineRule="auto"/>
        <w:ind w:firstLine="480" w:firstLineChars="200"/>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兹授权</w:t>
      </w:r>
      <w:r>
        <w:rPr>
          <w:rFonts w:hint="eastAsia" w:asciiTheme="majorEastAsia" w:hAnsiTheme="majorEastAsia" w:eastAsiaTheme="majorEastAsia"/>
          <w:color w:val="000000" w:themeColor="text1"/>
          <w:sz w:val="24"/>
          <w:szCs w:val="24"/>
          <w:u w:val="single"/>
        </w:rPr>
        <w:t xml:space="preserve">      </w:t>
      </w:r>
      <w:r>
        <w:rPr>
          <w:rFonts w:hint="eastAsia" w:asciiTheme="majorEastAsia" w:hAnsiTheme="majorEastAsia" w:eastAsiaTheme="majorEastAsia"/>
          <w:color w:val="000000" w:themeColor="text1"/>
          <w:sz w:val="24"/>
          <w:szCs w:val="24"/>
          <w:u w:val="single"/>
          <w:lang w:val="zh-CN"/>
        </w:rPr>
        <w:t>（</w:t>
      </w:r>
      <w:r>
        <w:rPr>
          <w:rFonts w:hint="eastAsia" w:asciiTheme="majorEastAsia" w:hAnsiTheme="majorEastAsia" w:eastAsiaTheme="majorEastAsia"/>
          <w:color w:val="000000" w:themeColor="text1"/>
          <w:sz w:val="24"/>
          <w:szCs w:val="24"/>
          <w:lang w:val="zh-CN"/>
        </w:rPr>
        <w:t>被授权人的姓名）代表我公司参加</w:t>
      </w:r>
      <w:r>
        <w:rPr>
          <w:rFonts w:hint="eastAsia" w:asciiTheme="majorEastAsia" w:hAnsiTheme="majorEastAsia" w:eastAsiaTheme="majorEastAsia"/>
          <w:color w:val="000000" w:themeColor="text1"/>
          <w:sz w:val="24"/>
          <w:szCs w:val="24"/>
          <w:u w:val="single"/>
          <w:lang w:val="zh-CN"/>
        </w:rPr>
        <w:t xml:space="preserve"> </w:t>
      </w:r>
      <w:r>
        <w:rPr>
          <w:rFonts w:hint="eastAsia" w:asciiTheme="majorEastAsia" w:hAnsiTheme="majorEastAsia" w:eastAsiaTheme="majorEastAsia"/>
          <w:color w:val="000000" w:themeColor="text1"/>
          <w:sz w:val="24"/>
          <w:szCs w:val="24"/>
          <w:u w:val="single"/>
        </w:rPr>
        <w:t xml:space="preserve">         </w:t>
      </w:r>
      <w:r>
        <w:rPr>
          <w:rFonts w:hint="eastAsia" w:asciiTheme="majorEastAsia" w:hAnsiTheme="majorEastAsia" w:eastAsiaTheme="majorEastAsia"/>
          <w:color w:val="000000" w:themeColor="text1"/>
          <w:sz w:val="24"/>
          <w:szCs w:val="24"/>
          <w:u w:val="single"/>
          <w:lang w:val="zh-CN"/>
        </w:rPr>
        <w:t xml:space="preserve"> </w:t>
      </w:r>
      <w:r>
        <w:rPr>
          <w:rFonts w:hint="eastAsia" w:asciiTheme="majorEastAsia" w:hAnsiTheme="majorEastAsia" w:eastAsiaTheme="majorEastAsia"/>
          <w:color w:val="000000" w:themeColor="text1"/>
          <w:sz w:val="24"/>
          <w:szCs w:val="24"/>
          <w:lang w:val="zh-CN"/>
        </w:rPr>
        <w:t>项目的采购活动，全权处理一切与该项目投标有关的事务。其在办理上述事宜过程中所签署的所有文件我公司均予以承认。</w:t>
      </w:r>
    </w:p>
    <w:p>
      <w:pPr>
        <w:spacing w:line="360" w:lineRule="auto"/>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附：被授权人情况：</w:t>
      </w:r>
    </w:p>
    <w:p>
      <w:pPr>
        <w:spacing w:line="360" w:lineRule="auto"/>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姓名：</w:t>
      </w:r>
      <w:r>
        <w:rPr>
          <w:rFonts w:hint="eastAsia" w:asciiTheme="majorEastAsia" w:hAnsiTheme="majorEastAsia" w:eastAsiaTheme="majorEastAsia"/>
          <w:color w:val="000000" w:themeColor="text1"/>
          <w:sz w:val="24"/>
          <w:szCs w:val="24"/>
          <w:u w:val="single"/>
          <w:lang w:val="zh-CN"/>
        </w:rPr>
        <w:t xml:space="preserve">        </w:t>
      </w:r>
      <w:r>
        <w:rPr>
          <w:rFonts w:hint="eastAsia" w:asciiTheme="majorEastAsia" w:hAnsiTheme="majorEastAsia" w:eastAsiaTheme="majorEastAsia"/>
          <w:color w:val="000000" w:themeColor="text1"/>
          <w:sz w:val="24"/>
          <w:szCs w:val="24"/>
          <w:lang w:val="zh-CN"/>
        </w:rPr>
        <w:t>性别：</w:t>
      </w:r>
      <w:r>
        <w:rPr>
          <w:rFonts w:hint="eastAsia" w:asciiTheme="majorEastAsia" w:hAnsiTheme="majorEastAsia" w:eastAsiaTheme="majorEastAsia"/>
          <w:color w:val="000000" w:themeColor="text1"/>
          <w:sz w:val="24"/>
          <w:szCs w:val="24"/>
          <w:u w:val="single"/>
          <w:lang w:val="zh-CN"/>
        </w:rPr>
        <w:t xml:space="preserve">        </w:t>
      </w:r>
      <w:r>
        <w:rPr>
          <w:rFonts w:hint="eastAsia" w:asciiTheme="majorEastAsia" w:hAnsiTheme="majorEastAsia" w:eastAsiaTheme="majorEastAsia"/>
          <w:color w:val="000000" w:themeColor="text1"/>
          <w:sz w:val="24"/>
          <w:szCs w:val="24"/>
          <w:lang w:val="zh-CN"/>
        </w:rPr>
        <w:t xml:space="preserve"> 年龄：</w:t>
      </w:r>
      <w:r>
        <w:rPr>
          <w:rFonts w:hint="eastAsia" w:asciiTheme="majorEastAsia" w:hAnsiTheme="majorEastAsia" w:eastAsiaTheme="majorEastAsia"/>
          <w:color w:val="000000" w:themeColor="text1"/>
          <w:sz w:val="24"/>
          <w:szCs w:val="24"/>
          <w:u w:val="single"/>
          <w:lang w:val="zh-CN"/>
        </w:rPr>
        <w:t xml:space="preserve">        </w:t>
      </w:r>
      <w:r>
        <w:rPr>
          <w:rFonts w:hint="eastAsia" w:asciiTheme="majorEastAsia" w:hAnsiTheme="majorEastAsia" w:eastAsiaTheme="majorEastAsia"/>
          <w:color w:val="000000" w:themeColor="text1"/>
          <w:sz w:val="24"/>
          <w:szCs w:val="24"/>
          <w:lang w:val="zh-CN"/>
        </w:rPr>
        <w:t xml:space="preserve"> 职务：</w:t>
      </w:r>
      <w:r>
        <w:rPr>
          <w:rFonts w:hint="eastAsia" w:asciiTheme="majorEastAsia" w:hAnsiTheme="majorEastAsia" w:eastAsiaTheme="majorEastAsia"/>
          <w:color w:val="000000" w:themeColor="text1"/>
          <w:sz w:val="24"/>
          <w:szCs w:val="24"/>
          <w:u w:val="single"/>
          <w:lang w:val="zh-CN"/>
        </w:rPr>
        <w:t xml:space="preserve">        </w:t>
      </w:r>
    </w:p>
    <w:p>
      <w:pPr>
        <w:spacing w:line="360" w:lineRule="auto"/>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身份证号码：</w:t>
      </w:r>
      <w:r>
        <w:rPr>
          <w:rFonts w:hint="eastAsia" w:asciiTheme="majorEastAsia" w:hAnsiTheme="majorEastAsia" w:eastAsiaTheme="majorEastAsia"/>
          <w:color w:val="000000" w:themeColor="text1"/>
          <w:sz w:val="24"/>
          <w:szCs w:val="24"/>
          <w:u w:val="single"/>
          <w:lang w:val="zh-CN"/>
        </w:rPr>
        <w:t xml:space="preserve">               </w:t>
      </w:r>
    </w:p>
    <w:p>
      <w:pPr>
        <w:spacing w:line="360" w:lineRule="auto"/>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手机：</w:t>
      </w:r>
      <w:r>
        <w:rPr>
          <w:rFonts w:hint="eastAsia" w:asciiTheme="majorEastAsia" w:hAnsiTheme="majorEastAsia" w:eastAsiaTheme="majorEastAsia"/>
          <w:color w:val="000000" w:themeColor="text1"/>
          <w:sz w:val="24"/>
          <w:szCs w:val="24"/>
          <w:u w:val="single"/>
          <w:lang w:val="zh-CN"/>
        </w:rPr>
        <w:t xml:space="preserve">           </w:t>
      </w:r>
      <w:r>
        <w:rPr>
          <w:rFonts w:hint="eastAsia" w:asciiTheme="majorEastAsia" w:hAnsiTheme="majorEastAsia" w:eastAsiaTheme="majorEastAsia"/>
          <w:color w:val="000000" w:themeColor="text1"/>
          <w:sz w:val="24"/>
          <w:szCs w:val="24"/>
          <w:lang w:val="zh-CN"/>
        </w:rPr>
        <w:t>传真：</w:t>
      </w:r>
      <w:r>
        <w:rPr>
          <w:rFonts w:hint="eastAsia" w:asciiTheme="majorEastAsia" w:hAnsiTheme="majorEastAsia" w:eastAsiaTheme="majorEastAsia"/>
          <w:color w:val="000000" w:themeColor="text1"/>
          <w:sz w:val="24"/>
          <w:szCs w:val="24"/>
          <w:u w:val="single"/>
          <w:lang w:val="zh-CN"/>
        </w:rPr>
        <w:t xml:space="preserve">           </w:t>
      </w:r>
    </w:p>
    <w:p>
      <w:pPr>
        <w:spacing w:line="360" w:lineRule="auto"/>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单位名称（公章）       法定代表人（签字）</w:t>
      </w:r>
    </w:p>
    <w:p>
      <w:pPr>
        <w:spacing w:line="360" w:lineRule="auto"/>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年  月   日</w:t>
      </w:r>
    </w:p>
    <w:p>
      <w:pPr>
        <w:spacing w:line="360" w:lineRule="auto"/>
        <w:rPr>
          <w:rFonts w:asciiTheme="majorEastAsia" w:hAnsiTheme="majorEastAsia" w:eastAsiaTheme="majorEastAsia"/>
          <w:color w:val="000000" w:themeColor="text1"/>
          <w:sz w:val="24"/>
          <w:szCs w:val="24"/>
          <w:lang w:val="zh-CN"/>
        </w:rPr>
      </w:pPr>
    </w:p>
    <w:p>
      <w:pPr>
        <w:spacing w:line="360" w:lineRule="auto"/>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被授权人身份证复印件</w:t>
      </w:r>
    </w:p>
    <w:p>
      <w:pPr>
        <w:spacing w:line="360" w:lineRule="auto"/>
        <w:rPr>
          <w:rFonts w:asciiTheme="majorEastAsia" w:hAnsiTheme="majorEastAsia" w:eastAsiaTheme="majorEastAsia"/>
          <w:color w:val="000000" w:themeColor="text1"/>
          <w:sz w:val="24"/>
          <w:szCs w:val="24"/>
          <w:lang w:val="zh-CN"/>
        </w:rPr>
      </w:pPr>
    </w:p>
    <w:p>
      <w:pPr>
        <w:spacing w:line="360" w:lineRule="auto"/>
        <w:rPr>
          <w:rFonts w:asciiTheme="majorEastAsia" w:hAnsiTheme="majorEastAsia" w:eastAsiaTheme="majorEastAsia"/>
          <w:color w:val="000000" w:themeColor="text1"/>
          <w:sz w:val="24"/>
          <w:szCs w:val="24"/>
          <w:lang w:val="zh-CN"/>
        </w:rPr>
      </w:pPr>
    </w:p>
    <w:p>
      <w:pPr>
        <w:spacing w:line="360" w:lineRule="auto"/>
        <w:rPr>
          <w:rFonts w:asciiTheme="majorEastAsia" w:hAnsiTheme="majorEastAsia" w:eastAsiaTheme="majorEastAsia"/>
          <w:color w:val="000000" w:themeColor="text1"/>
          <w:sz w:val="24"/>
          <w:szCs w:val="24"/>
          <w:lang w:val="zh-CN"/>
        </w:rPr>
      </w:pPr>
    </w:p>
    <w:p>
      <w:pPr>
        <w:spacing w:line="360" w:lineRule="auto"/>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法定代表人身份证复印件</w:t>
      </w:r>
    </w:p>
    <w:p>
      <w:pPr>
        <w:spacing w:line="360" w:lineRule="auto"/>
        <w:rPr>
          <w:rFonts w:asciiTheme="majorEastAsia" w:hAnsiTheme="majorEastAsia" w:eastAsiaTheme="majorEastAsia"/>
          <w:color w:val="000000" w:themeColor="text1"/>
          <w:sz w:val="24"/>
          <w:szCs w:val="24"/>
        </w:rPr>
      </w:pPr>
    </w:p>
    <w:p>
      <w:pPr>
        <w:spacing w:line="360" w:lineRule="auto"/>
        <w:ind w:firstLine="480" w:firstLineChars="200"/>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br w:type="page"/>
      </w:r>
    </w:p>
    <w:p>
      <w:pPr>
        <w:spacing w:line="360" w:lineRule="auto"/>
        <w:ind w:firstLine="602" w:firstLineChars="200"/>
        <w:jc w:val="center"/>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b/>
          <w:bCs/>
          <w:color w:val="000000" w:themeColor="text1"/>
          <w:sz w:val="30"/>
          <w:szCs w:val="30"/>
          <w:lang w:val="zh-CN"/>
        </w:rPr>
        <w:t>二、无重大违法记录声明</w:t>
      </w:r>
    </w:p>
    <w:p>
      <w:pPr>
        <w:spacing w:line="360" w:lineRule="auto"/>
        <w:ind w:firstLine="480" w:firstLineChars="200"/>
        <w:rPr>
          <w:rFonts w:asciiTheme="majorEastAsia" w:hAnsiTheme="majorEastAsia" w:eastAsiaTheme="majorEastAsia"/>
          <w:color w:val="000000" w:themeColor="text1"/>
          <w:sz w:val="24"/>
          <w:szCs w:val="24"/>
          <w:lang w:val="zh-CN"/>
        </w:rPr>
      </w:pPr>
    </w:p>
    <w:p>
      <w:pPr>
        <w:spacing w:line="360" w:lineRule="auto"/>
        <w:ind w:firstLine="480" w:firstLineChars="200"/>
        <w:rPr>
          <w:rFonts w:asciiTheme="majorEastAsia" w:hAnsiTheme="majorEastAsia" w:eastAsiaTheme="majorEastAsia"/>
          <w:color w:val="000000" w:themeColor="text1"/>
          <w:sz w:val="24"/>
          <w:szCs w:val="24"/>
          <w:lang w:val="zh-CN"/>
        </w:rPr>
      </w:pPr>
    </w:p>
    <w:p>
      <w:pPr>
        <w:spacing w:line="360" w:lineRule="auto"/>
        <w:ind w:firstLine="480" w:firstLineChars="200"/>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u w:val="single"/>
        </w:rPr>
        <w:t>南通农副产品物流有限公司</w:t>
      </w:r>
      <w:r>
        <w:rPr>
          <w:rFonts w:hint="eastAsia" w:asciiTheme="majorEastAsia" w:hAnsiTheme="majorEastAsia" w:eastAsiaTheme="majorEastAsia"/>
          <w:color w:val="000000" w:themeColor="text1"/>
          <w:sz w:val="24"/>
          <w:szCs w:val="24"/>
          <w:lang w:val="zh-CN"/>
        </w:rPr>
        <w:t>：</w:t>
      </w:r>
    </w:p>
    <w:p>
      <w:pPr>
        <w:spacing w:line="360" w:lineRule="auto"/>
        <w:ind w:firstLine="480" w:firstLineChars="200"/>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 xml:space="preserve">    我单位</w:t>
      </w:r>
      <w:r>
        <w:rPr>
          <w:rFonts w:hint="eastAsia" w:asciiTheme="majorEastAsia" w:hAnsiTheme="majorEastAsia" w:eastAsiaTheme="majorEastAsia"/>
          <w:color w:val="000000" w:themeColor="text1"/>
          <w:sz w:val="24"/>
          <w:szCs w:val="24"/>
          <w:u w:val="single"/>
          <w:lang w:val="zh-CN"/>
        </w:rPr>
        <w:t xml:space="preserve">                                       </w:t>
      </w:r>
      <w:r>
        <w:rPr>
          <w:rFonts w:hint="eastAsia" w:asciiTheme="majorEastAsia" w:hAnsiTheme="majorEastAsia" w:eastAsiaTheme="majorEastAsia"/>
          <w:color w:val="000000" w:themeColor="text1"/>
          <w:sz w:val="24"/>
          <w:szCs w:val="24"/>
          <w:lang w:val="zh-CN"/>
        </w:rPr>
        <w:t>（供应商名称）郑重声明：</w:t>
      </w:r>
    </w:p>
    <w:p>
      <w:pPr>
        <w:spacing w:line="360" w:lineRule="auto"/>
        <w:ind w:firstLine="480" w:firstLineChars="200"/>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 xml:space="preserve">    参加政府采购活动前3年内在经营活动中 </w:t>
      </w:r>
      <w:r>
        <w:rPr>
          <w:rFonts w:hint="eastAsia" w:asciiTheme="majorEastAsia" w:hAnsiTheme="majorEastAsia" w:eastAsiaTheme="majorEastAsia"/>
          <w:color w:val="000000" w:themeColor="text1"/>
          <w:sz w:val="24"/>
          <w:szCs w:val="24"/>
          <w:u w:val="single"/>
          <w:lang w:val="zh-CN"/>
        </w:rPr>
        <w:t xml:space="preserve">       </w:t>
      </w:r>
      <w:r>
        <w:rPr>
          <w:rFonts w:hint="eastAsia" w:asciiTheme="majorEastAsia" w:hAnsiTheme="majorEastAsia" w:eastAsiaTheme="majorEastAsia"/>
          <w:color w:val="000000" w:themeColor="text1"/>
          <w:sz w:val="24"/>
          <w:szCs w:val="24"/>
          <w:lang w:val="zh-CN"/>
        </w:rPr>
        <w:t>（在下划线上如实填写：有或没有）重大违法记录。</w:t>
      </w:r>
    </w:p>
    <w:p>
      <w:pPr>
        <w:spacing w:line="360" w:lineRule="auto"/>
        <w:ind w:firstLine="480" w:firstLineChars="200"/>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（说明：政府采购法第二十二条第一款第五项所称重大违法记录，是指供应商因违法经营受到刑事处罚或者责令停产停业、吊销许可证或者执照、较大数额罚款等行政处罚。）</w:t>
      </w:r>
    </w:p>
    <w:p>
      <w:pPr>
        <w:spacing w:line="360" w:lineRule="auto"/>
        <w:ind w:firstLine="480" w:firstLineChars="200"/>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 xml:space="preserve">                                                        声明人：（公章）</w:t>
      </w:r>
    </w:p>
    <w:p>
      <w:pPr>
        <w:spacing w:line="360" w:lineRule="auto"/>
        <w:ind w:firstLine="480" w:firstLineChars="200"/>
        <w:rPr>
          <w:rFonts w:asciiTheme="majorEastAsia" w:hAnsiTheme="majorEastAsia" w:eastAsiaTheme="majorEastAsia"/>
          <w:color w:val="000000" w:themeColor="text1"/>
          <w:sz w:val="24"/>
          <w:szCs w:val="24"/>
          <w:lang w:val="zh-CN"/>
        </w:rPr>
      </w:pPr>
      <w:r>
        <w:rPr>
          <w:rFonts w:hint="eastAsia" w:asciiTheme="majorEastAsia" w:hAnsiTheme="majorEastAsia" w:eastAsiaTheme="majorEastAsia"/>
          <w:color w:val="000000" w:themeColor="text1"/>
          <w:sz w:val="24"/>
          <w:szCs w:val="24"/>
          <w:lang w:val="zh-CN"/>
        </w:rPr>
        <w:t xml:space="preserve">                                                   年     月    日</w:t>
      </w: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widowControl/>
        <w:jc w:val="left"/>
        <w:rPr>
          <w:rFonts w:asciiTheme="majorEastAsia" w:hAnsiTheme="majorEastAsia" w:eastAsiaTheme="majorEastAsia"/>
          <w:color w:val="000000" w:themeColor="text1"/>
          <w:sz w:val="24"/>
          <w:szCs w:val="24"/>
        </w:rPr>
      </w:pPr>
    </w:p>
    <w:p>
      <w:pPr>
        <w:spacing w:beforeLines="50" w:afterLines="50" w:line="360" w:lineRule="auto"/>
        <w:ind w:firstLine="3373" w:firstLineChars="1400"/>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三、磋商报价表</w:t>
      </w:r>
    </w:p>
    <w:p>
      <w:pPr>
        <w:spacing w:line="360" w:lineRule="auto"/>
        <w:rPr>
          <w:rFonts w:asciiTheme="majorEastAsia" w:hAnsiTheme="majorEastAsia" w:eastAsiaTheme="majorEastAsia"/>
          <w:b/>
          <w:color w:val="000000" w:themeColor="text1"/>
          <w:sz w:val="24"/>
          <w:szCs w:val="24"/>
        </w:rPr>
      </w:pPr>
    </w:p>
    <w:tbl>
      <w:tblPr>
        <w:tblStyle w:val="19"/>
        <w:tblW w:w="10355" w:type="dxa"/>
        <w:tblInd w:w="-289" w:type="dxa"/>
        <w:tblLayout w:type="fixed"/>
        <w:tblCellMar>
          <w:top w:w="0" w:type="dxa"/>
          <w:left w:w="108" w:type="dxa"/>
          <w:bottom w:w="0" w:type="dxa"/>
          <w:right w:w="108" w:type="dxa"/>
        </w:tblCellMar>
      </w:tblPr>
      <w:tblGrid>
        <w:gridCol w:w="1531"/>
        <w:gridCol w:w="4395"/>
        <w:gridCol w:w="4429"/>
      </w:tblGrid>
      <w:tr>
        <w:tblPrEx>
          <w:tblCellMar>
            <w:top w:w="0" w:type="dxa"/>
            <w:left w:w="108" w:type="dxa"/>
            <w:bottom w:w="0" w:type="dxa"/>
            <w:right w:w="108" w:type="dxa"/>
          </w:tblCellMar>
        </w:tblPrEx>
        <w:trPr>
          <w:trHeight w:val="502" w:hRule="atLeast"/>
        </w:trPr>
        <w:tc>
          <w:tcPr>
            <w:tcW w:w="1531"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spacing w:line="300" w:lineRule="auto"/>
              <w:jc w:val="center"/>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名   称</w:t>
            </w:r>
          </w:p>
        </w:tc>
        <w:tc>
          <w:tcPr>
            <w:tcW w:w="4395"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spacing w:line="300" w:lineRule="auto"/>
              <w:jc w:val="center"/>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磋商报价</w:t>
            </w:r>
          </w:p>
          <w:p>
            <w:pPr>
              <w:widowControl/>
              <w:spacing w:line="300" w:lineRule="auto"/>
              <w:jc w:val="center"/>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(首次)</w:t>
            </w:r>
          </w:p>
        </w:tc>
        <w:tc>
          <w:tcPr>
            <w:tcW w:w="4429"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spacing w:line="300" w:lineRule="auto"/>
              <w:jc w:val="center"/>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磋商报价</w:t>
            </w:r>
          </w:p>
          <w:p>
            <w:pPr>
              <w:widowControl/>
              <w:spacing w:line="300" w:lineRule="auto"/>
              <w:jc w:val="center"/>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(二次)</w:t>
            </w:r>
          </w:p>
        </w:tc>
      </w:tr>
      <w:tr>
        <w:tblPrEx>
          <w:tblCellMar>
            <w:top w:w="0" w:type="dxa"/>
            <w:left w:w="108" w:type="dxa"/>
            <w:bottom w:w="0" w:type="dxa"/>
            <w:right w:w="108" w:type="dxa"/>
          </w:tblCellMar>
        </w:tblPrEx>
        <w:trPr>
          <w:trHeight w:val="2360" w:hRule="atLeast"/>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adjustRightInd w:val="0"/>
              <w:snapToGrid w:val="0"/>
              <w:spacing w:before="0" w:after="0" w:line="800" w:lineRule="exact"/>
              <w:jc w:val="center"/>
              <w:textAlignment w:val="baseline"/>
              <w:rPr>
                <w:rFonts w:asciiTheme="majorEastAsia" w:hAnsiTheme="majorEastAsia" w:eastAsiaTheme="majorEastAsia"/>
                <w:b w:val="0"/>
                <w:color w:val="000000" w:themeColor="text1"/>
                <w:spacing w:val="-10"/>
                <w:sz w:val="24"/>
                <w:szCs w:val="24"/>
              </w:rPr>
            </w:pPr>
            <w:r>
              <w:rPr>
                <w:rFonts w:asciiTheme="majorEastAsia" w:hAnsiTheme="majorEastAsia" w:eastAsiaTheme="majorEastAsia"/>
                <w:b w:val="0"/>
                <w:color w:val="000000" w:themeColor="text1"/>
                <w:spacing w:val="-10"/>
                <w:sz w:val="24"/>
                <w:szCs w:val="24"/>
              </w:rPr>
              <w:t>南通农副产品物流中心电梯日常维护保养服务</w:t>
            </w:r>
          </w:p>
          <w:p>
            <w:pPr>
              <w:spacing w:line="360" w:lineRule="auto"/>
              <w:ind w:left="1050" w:hanging="1050" w:hangingChars="500"/>
              <w:jc w:val="left"/>
              <w:rPr>
                <w:rFonts w:cs="宋体" w:asciiTheme="majorEastAsia" w:hAnsiTheme="majorEastAsia" w:eastAsiaTheme="majorEastAsia"/>
                <w:color w:val="000000" w:themeColor="text1"/>
                <w:kern w:val="0"/>
                <w:szCs w:val="21"/>
              </w:rPr>
            </w:pPr>
          </w:p>
        </w:tc>
        <w:tc>
          <w:tcPr>
            <w:tcW w:w="4395" w:type="dxa"/>
            <w:tcBorders>
              <w:top w:val="single" w:color="auto" w:sz="4" w:space="0"/>
              <w:left w:val="single" w:color="auto" w:sz="4" w:space="0"/>
              <w:bottom w:val="single" w:color="auto" w:sz="4" w:space="0"/>
              <w:right w:val="single" w:color="auto" w:sz="4" w:space="0"/>
            </w:tcBorders>
            <w:vAlign w:val="center"/>
          </w:tcPr>
          <w:p>
            <w:pPr>
              <w:spacing w:line="360" w:lineRule="auto"/>
              <w:ind w:left="1200" w:hanging="1200" w:hangingChars="5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人民币（大写）</w:t>
            </w:r>
            <w:r>
              <w:rPr>
                <w:rFonts w:hint="eastAsia" w:asciiTheme="majorEastAsia" w:hAnsiTheme="majorEastAsia" w:eastAsiaTheme="majorEastAsia"/>
                <w:bCs/>
                <w:color w:val="000000" w:themeColor="text1"/>
                <w:sz w:val="24"/>
                <w:szCs w:val="24"/>
                <w:u w:val="single"/>
              </w:rPr>
              <w:t xml:space="preserve">                 </w:t>
            </w:r>
            <w:r>
              <w:rPr>
                <w:rFonts w:hint="eastAsia" w:asciiTheme="majorEastAsia" w:hAnsiTheme="majorEastAsia" w:eastAsiaTheme="majorEastAsia"/>
                <w:bCs/>
                <w:color w:val="000000" w:themeColor="text1"/>
                <w:sz w:val="24"/>
                <w:szCs w:val="24"/>
              </w:rPr>
              <w:t>元整</w:t>
            </w:r>
          </w:p>
          <w:p>
            <w:pPr>
              <w:widowControl/>
              <w:spacing w:line="300" w:lineRule="auto"/>
              <w:jc w:val="center"/>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w:t>
            </w:r>
            <w:r>
              <w:rPr>
                <w:rFonts w:cs="宋体" w:asciiTheme="majorEastAsia" w:hAnsiTheme="majorEastAsia" w:eastAsiaTheme="majorEastAsia"/>
                <w:bCs/>
                <w:color w:val="000000" w:themeColor="text1"/>
                <w:sz w:val="24"/>
                <w:szCs w:val="24"/>
              </w:rPr>
              <w:t>¥</w:t>
            </w:r>
            <w:r>
              <w:rPr>
                <w:rFonts w:hint="eastAsia" w:cs="宋体" w:asciiTheme="majorEastAsia" w:hAnsiTheme="majorEastAsia" w:eastAsiaTheme="majorEastAsia"/>
                <w:bCs/>
                <w:color w:val="000000" w:themeColor="text1"/>
                <w:sz w:val="24"/>
                <w:szCs w:val="24"/>
                <w:u w:val="single"/>
              </w:rPr>
              <w:t xml:space="preserve">        </w:t>
            </w:r>
            <w:r>
              <w:rPr>
                <w:rFonts w:hint="eastAsia" w:cs="宋体" w:asciiTheme="majorEastAsia" w:hAnsiTheme="majorEastAsia" w:eastAsiaTheme="majorEastAsia"/>
                <w:bCs/>
                <w:color w:val="000000" w:themeColor="text1"/>
                <w:sz w:val="24"/>
                <w:szCs w:val="24"/>
              </w:rPr>
              <w:t xml:space="preserve"> </w:t>
            </w:r>
            <w:r>
              <w:rPr>
                <w:rFonts w:hint="eastAsia" w:asciiTheme="majorEastAsia" w:hAnsiTheme="majorEastAsia" w:eastAsiaTheme="majorEastAsia"/>
                <w:bCs/>
                <w:color w:val="000000" w:themeColor="text1"/>
                <w:sz w:val="24"/>
                <w:szCs w:val="24"/>
              </w:rPr>
              <w:t>元整）</w:t>
            </w:r>
          </w:p>
          <w:p>
            <w:pPr>
              <w:widowControl/>
              <w:spacing w:line="300" w:lineRule="auto"/>
              <w:jc w:val="center"/>
              <w:rPr>
                <w:rFonts w:asciiTheme="majorEastAsia" w:hAnsiTheme="majorEastAsia" w:eastAsiaTheme="majorEastAsia"/>
              </w:rPr>
            </w:pPr>
          </w:p>
        </w:tc>
        <w:tc>
          <w:tcPr>
            <w:tcW w:w="4429" w:type="dxa"/>
            <w:tcBorders>
              <w:top w:val="single" w:color="auto" w:sz="4" w:space="0"/>
              <w:left w:val="single" w:color="auto" w:sz="4" w:space="0"/>
              <w:bottom w:val="single" w:color="auto" w:sz="4" w:space="0"/>
              <w:right w:val="single" w:color="auto" w:sz="4" w:space="0"/>
            </w:tcBorders>
            <w:vAlign w:val="center"/>
          </w:tcPr>
          <w:p>
            <w:pPr>
              <w:spacing w:line="360" w:lineRule="auto"/>
              <w:ind w:left="1200" w:hanging="1200" w:hangingChars="5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人民币（大写）</w:t>
            </w:r>
            <w:r>
              <w:rPr>
                <w:rFonts w:hint="eastAsia" w:asciiTheme="majorEastAsia" w:hAnsiTheme="majorEastAsia" w:eastAsiaTheme="majorEastAsia"/>
                <w:bCs/>
                <w:color w:val="000000" w:themeColor="text1"/>
                <w:sz w:val="24"/>
                <w:szCs w:val="24"/>
                <w:u w:val="single"/>
              </w:rPr>
              <w:t xml:space="preserve">                 </w:t>
            </w:r>
            <w:r>
              <w:rPr>
                <w:rFonts w:hint="eastAsia" w:asciiTheme="majorEastAsia" w:hAnsiTheme="majorEastAsia" w:eastAsiaTheme="majorEastAsia"/>
                <w:bCs/>
                <w:color w:val="000000" w:themeColor="text1"/>
                <w:sz w:val="24"/>
                <w:szCs w:val="24"/>
              </w:rPr>
              <w:t>元整</w:t>
            </w:r>
          </w:p>
          <w:p>
            <w:pPr>
              <w:widowControl/>
              <w:spacing w:line="300" w:lineRule="auto"/>
              <w:jc w:val="center"/>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w:t>
            </w:r>
            <w:r>
              <w:rPr>
                <w:rFonts w:cs="宋体" w:asciiTheme="majorEastAsia" w:hAnsiTheme="majorEastAsia" w:eastAsiaTheme="majorEastAsia"/>
                <w:bCs/>
                <w:color w:val="000000" w:themeColor="text1"/>
                <w:sz w:val="24"/>
                <w:szCs w:val="24"/>
              </w:rPr>
              <w:t>¥</w:t>
            </w:r>
            <w:r>
              <w:rPr>
                <w:rFonts w:hint="eastAsia" w:cs="宋体" w:asciiTheme="majorEastAsia" w:hAnsiTheme="majorEastAsia" w:eastAsiaTheme="majorEastAsia"/>
                <w:bCs/>
                <w:color w:val="000000" w:themeColor="text1"/>
                <w:sz w:val="24"/>
                <w:szCs w:val="24"/>
                <w:u w:val="single"/>
              </w:rPr>
              <w:t xml:space="preserve">        </w:t>
            </w:r>
            <w:r>
              <w:rPr>
                <w:rFonts w:hint="eastAsia" w:cs="宋体" w:asciiTheme="majorEastAsia" w:hAnsiTheme="majorEastAsia" w:eastAsiaTheme="majorEastAsia"/>
                <w:bCs/>
                <w:color w:val="000000" w:themeColor="text1"/>
                <w:sz w:val="24"/>
                <w:szCs w:val="24"/>
              </w:rPr>
              <w:t xml:space="preserve"> </w:t>
            </w:r>
            <w:r>
              <w:rPr>
                <w:rFonts w:hint="eastAsia" w:asciiTheme="majorEastAsia" w:hAnsiTheme="majorEastAsia" w:eastAsiaTheme="majorEastAsia"/>
                <w:bCs/>
                <w:color w:val="000000" w:themeColor="text1"/>
                <w:sz w:val="24"/>
                <w:szCs w:val="24"/>
              </w:rPr>
              <w:t>元整）</w:t>
            </w:r>
          </w:p>
          <w:p>
            <w:pPr>
              <w:widowControl/>
              <w:spacing w:line="300" w:lineRule="auto"/>
              <w:jc w:val="center"/>
              <w:rPr>
                <w:rFonts w:cs="宋体" w:asciiTheme="majorEastAsia" w:hAnsiTheme="majorEastAsia" w:eastAsiaTheme="majorEastAsia"/>
                <w:color w:val="000000" w:themeColor="text1"/>
                <w:kern w:val="0"/>
                <w:sz w:val="24"/>
                <w:szCs w:val="24"/>
              </w:rPr>
            </w:pPr>
          </w:p>
        </w:tc>
      </w:tr>
    </w:tbl>
    <w:p>
      <w:pPr>
        <w:pStyle w:val="35"/>
        <w:ind w:firstLine="0" w:firstLineChars="0"/>
        <w:rPr>
          <w:rFonts w:asciiTheme="majorEastAsia" w:hAnsiTheme="majorEastAsia" w:eastAsiaTheme="majorEastAsia"/>
          <w:color w:val="000000" w:themeColor="text1"/>
          <w:sz w:val="24"/>
          <w:szCs w:val="24"/>
        </w:rPr>
      </w:pPr>
    </w:p>
    <w:p>
      <w:pPr>
        <w:spacing w:line="400" w:lineRule="exact"/>
        <w:ind w:left="842" w:leftChars="229" w:hanging="361" w:hangingChars="150"/>
        <w:rPr>
          <w:rFonts w:cs="宋体" w:asciiTheme="majorEastAsia" w:hAnsiTheme="majorEastAsia" w:eastAsiaTheme="majorEastAsia"/>
          <w:b/>
          <w:color w:val="000000" w:themeColor="text1"/>
          <w:sz w:val="24"/>
        </w:rPr>
      </w:pPr>
      <w:r>
        <w:rPr>
          <w:rFonts w:hint="eastAsia" w:cs="宋体" w:asciiTheme="majorEastAsia" w:hAnsiTheme="majorEastAsia" w:eastAsiaTheme="majorEastAsia"/>
          <w:b/>
          <w:color w:val="000000" w:themeColor="text1"/>
          <w:sz w:val="24"/>
        </w:rPr>
        <w:t>注：</w:t>
      </w:r>
      <w:r>
        <w:rPr>
          <w:rFonts w:cs="宋体" w:asciiTheme="majorEastAsia" w:hAnsiTheme="majorEastAsia" w:eastAsiaTheme="majorEastAsia"/>
          <w:b/>
          <w:color w:val="000000" w:themeColor="text1"/>
          <w:sz w:val="24"/>
        </w:rPr>
        <w:t>1.</w:t>
      </w:r>
      <w:r>
        <w:rPr>
          <w:rFonts w:hint="eastAsia" w:cs="宋体" w:asciiTheme="majorEastAsia" w:hAnsiTheme="majorEastAsia" w:eastAsiaTheme="majorEastAsia"/>
          <w:b/>
          <w:color w:val="000000" w:themeColor="text1"/>
          <w:sz w:val="24"/>
        </w:rPr>
        <w:t>磋商</w:t>
      </w:r>
      <w:r>
        <w:rPr>
          <w:rFonts w:hint="eastAsia" w:asciiTheme="majorEastAsia" w:hAnsiTheme="majorEastAsia" w:eastAsiaTheme="majorEastAsia"/>
          <w:b/>
          <w:color w:val="000000" w:themeColor="text1"/>
          <w:sz w:val="24"/>
          <w:szCs w:val="24"/>
        </w:rPr>
        <w:t>报价</w:t>
      </w:r>
      <w:r>
        <w:rPr>
          <w:rFonts w:hint="eastAsia" w:cs="宋体" w:asciiTheme="majorEastAsia" w:hAnsiTheme="majorEastAsia" w:eastAsiaTheme="majorEastAsia"/>
          <w:b/>
          <w:color w:val="000000" w:themeColor="text1"/>
          <w:sz w:val="24"/>
        </w:rPr>
        <w:t>文件密封提交时只需填写磋商报价总计（首次），二次报价将在开标现场填写。</w:t>
      </w:r>
    </w:p>
    <w:p>
      <w:pPr>
        <w:spacing w:line="400" w:lineRule="exact"/>
        <w:ind w:left="840" w:leftChars="400"/>
        <w:rPr>
          <w:rFonts w:cs="宋体" w:asciiTheme="majorEastAsia" w:hAnsiTheme="majorEastAsia" w:eastAsiaTheme="majorEastAsia"/>
          <w:b/>
          <w:color w:val="000000" w:themeColor="text1"/>
          <w:sz w:val="24"/>
        </w:rPr>
      </w:pPr>
      <w:r>
        <w:rPr>
          <w:rFonts w:cs="宋体" w:asciiTheme="majorEastAsia" w:hAnsiTheme="majorEastAsia" w:eastAsiaTheme="majorEastAsia"/>
          <w:b/>
          <w:color w:val="000000" w:themeColor="text1"/>
          <w:sz w:val="24"/>
        </w:rPr>
        <w:t>2</w:t>
      </w:r>
      <w:r>
        <w:rPr>
          <w:rFonts w:hint="eastAsia" w:cs="宋体" w:asciiTheme="majorEastAsia" w:hAnsiTheme="majorEastAsia" w:eastAsiaTheme="majorEastAsia"/>
          <w:b/>
          <w:color w:val="000000" w:themeColor="text1"/>
          <w:sz w:val="24"/>
        </w:rPr>
        <w:t>、投标总报价（以人民币计价）应包含实施该项目所有费用。</w:t>
      </w:r>
    </w:p>
    <w:p>
      <w:pPr>
        <w:spacing w:line="600" w:lineRule="exact"/>
        <w:ind w:firstLine="480"/>
        <w:rPr>
          <w:rFonts w:cs="宋体" w:asciiTheme="majorEastAsia" w:hAnsiTheme="majorEastAsia" w:eastAsiaTheme="majorEastAsia"/>
          <w:color w:val="000000" w:themeColor="text1"/>
          <w:sz w:val="24"/>
        </w:rPr>
      </w:pPr>
    </w:p>
    <w:p>
      <w:pPr>
        <w:spacing w:line="600" w:lineRule="exact"/>
        <w:ind w:firstLine="480"/>
        <w:rPr>
          <w:rFonts w:cs="宋体" w:asciiTheme="majorEastAsia" w:hAnsiTheme="majorEastAsia" w:eastAsiaTheme="majorEastAsia"/>
          <w:color w:val="000000" w:themeColor="text1"/>
          <w:sz w:val="24"/>
        </w:rPr>
      </w:pPr>
    </w:p>
    <w:p>
      <w:pPr>
        <w:spacing w:line="600" w:lineRule="exact"/>
        <w:ind w:firstLine="48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磋商供应商：</w:t>
      </w:r>
      <w:r>
        <w:rPr>
          <w:rFonts w:cs="宋体" w:asciiTheme="majorEastAsia" w:hAnsiTheme="majorEastAsia" w:eastAsiaTheme="majorEastAsia"/>
          <w:color w:val="000000" w:themeColor="text1"/>
          <w:sz w:val="24"/>
          <w:u w:val="single"/>
        </w:rPr>
        <w:t xml:space="preserve">                    </w:t>
      </w:r>
      <w:r>
        <w:rPr>
          <w:rFonts w:hint="eastAsia" w:cs="宋体" w:asciiTheme="majorEastAsia" w:hAnsiTheme="majorEastAsia" w:eastAsiaTheme="majorEastAsia"/>
          <w:color w:val="000000" w:themeColor="text1"/>
          <w:sz w:val="24"/>
        </w:rPr>
        <w:t>（加盖公章）</w:t>
      </w:r>
    </w:p>
    <w:p>
      <w:pPr>
        <w:spacing w:line="600" w:lineRule="exact"/>
        <w:ind w:firstLine="48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法定代表人或被委托授权人：</w:t>
      </w:r>
      <w:r>
        <w:rPr>
          <w:rFonts w:cs="宋体" w:asciiTheme="majorEastAsia" w:hAnsiTheme="majorEastAsia" w:eastAsiaTheme="majorEastAsia"/>
          <w:color w:val="000000" w:themeColor="text1"/>
          <w:sz w:val="24"/>
          <w:u w:val="single"/>
        </w:rPr>
        <w:t xml:space="preserve">            </w:t>
      </w:r>
      <w:r>
        <w:rPr>
          <w:rFonts w:hint="eastAsia" w:cs="宋体" w:asciiTheme="majorEastAsia" w:hAnsiTheme="majorEastAsia" w:eastAsiaTheme="majorEastAsia"/>
          <w:color w:val="000000" w:themeColor="text1"/>
          <w:sz w:val="24"/>
        </w:rPr>
        <w:t>（签字或盖章）</w:t>
      </w:r>
    </w:p>
    <w:p>
      <w:pPr>
        <w:spacing w:line="600" w:lineRule="exact"/>
        <w:ind w:firstLine="48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二○一九年</w:t>
      </w:r>
      <w:r>
        <w:rPr>
          <w:rFonts w:cs="宋体" w:asciiTheme="majorEastAsia" w:hAnsiTheme="majorEastAsia" w:eastAsiaTheme="majorEastAsia"/>
          <w:color w:val="000000" w:themeColor="text1"/>
          <w:sz w:val="24"/>
        </w:rPr>
        <w:t xml:space="preserve">      </w:t>
      </w:r>
      <w:r>
        <w:rPr>
          <w:rFonts w:hint="eastAsia" w:cs="宋体" w:asciiTheme="majorEastAsia" w:hAnsiTheme="majorEastAsia" w:eastAsiaTheme="majorEastAsia"/>
          <w:color w:val="000000" w:themeColor="text1"/>
          <w:sz w:val="24"/>
        </w:rPr>
        <w:t>月</w:t>
      </w:r>
      <w:r>
        <w:rPr>
          <w:rFonts w:cs="宋体" w:asciiTheme="majorEastAsia" w:hAnsiTheme="majorEastAsia" w:eastAsiaTheme="majorEastAsia"/>
          <w:color w:val="000000" w:themeColor="text1"/>
          <w:sz w:val="24"/>
        </w:rPr>
        <w:t xml:space="preserve">     </w:t>
      </w:r>
      <w:r>
        <w:rPr>
          <w:rFonts w:hint="eastAsia" w:cs="宋体" w:asciiTheme="majorEastAsia" w:hAnsiTheme="majorEastAsia" w:eastAsiaTheme="majorEastAsia"/>
          <w:color w:val="000000" w:themeColor="text1"/>
          <w:sz w:val="24"/>
        </w:rPr>
        <w:t>日</w:t>
      </w:r>
    </w:p>
    <w:p>
      <w:pPr>
        <w:spacing w:line="360" w:lineRule="auto"/>
        <w:rPr>
          <w:rFonts w:asciiTheme="majorEastAsia" w:hAnsiTheme="majorEastAsia" w:eastAsiaTheme="majorEastAsia"/>
          <w:b/>
          <w:color w:val="000000" w:themeColor="text1"/>
          <w:sz w:val="24"/>
          <w:szCs w:val="24"/>
        </w:rPr>
      </w:pPr>
    </w:p>
    <w:p>
      <w:pPr>
        <w:spacing w:line="360" w:lineRule="auto"/>
        <w:rPr>
          <w:rFonts w:asciiTheme="majorEastAsia" w:hAnsiTheme="majorEastAsia" w:eastAsiaTheme="majorEastAsia"/>
          <w:b/>
          <w:color w:val="000000" w:themeColor="text1"/>
          <w:sz w:val="24"/>
          <w:szCs w:val="24"/>
        </w:rPr>
      </w:pPr>
    </w:p>
    <w:p>
      <w:pPr>
        <w:spacing w:line="360" w:lineRule="auto"/>
        <w:rPr>
          <w:rFonts w:asciiTheme="majorEastAsia" w:hAnsiTheme="majorEastAsia" w:eastAsiaTheme="majorEastAsia"/>
          <w:b/>
          <w:color w:val="000000" w:themeColor="text1"/>
          <w:sz w:val="24"/>
          <w:szCs w:val="24"/>
        </w:rPr>
      </w:pPr>
    </w:p>
    <w:p>
      <w:pPr>
        <w:widowControl/>
        <w:jc w:val="left"/>
        <w:rPr>
          <w:rFonts w:asciiTheme="majorEastAsia" w:hAnsiTheme="majorEastAsia" w:eastAsiaTheme="majorEastAsia"/>
          <w:color w:val="000000" w:themeColor="text1"/>
          <w:sz w:val="24"/>
          <w:szCs w:val="24"/>
        </w:rPr>
      </w:pPr>
    </w:p>
    <w:p>
      <w:pPr>
        <w:pStyle w:val="2"/>
      </w:pPr>
    </w:p>
    <w:p>
      <w:pPr>
        <w:pStyle w:val="2"/>
      </w:pPr>
    </w:p>
    <w:p>
      <w:pPr>
        <w:pStyle w:val="2"/>
      </w:pPr>
    </w:p>
    <w:p>
      <w:pPr>
        <w:pStyle w:val="2"/>
      </w:pPr>
    </w:p>
    <w:p>
      <w:pPr>
        <w:widowControl/>
        <w:jc w:val="left"/>
        <w:rPr>
          <w:rFonts w:asciiTheme="majorEastAsia" w:hAnsiTheme="majorEastAsia" w:eastAsiaTheme="majorEastAsia"/>
          <w:color w:val="000000" w:themeColor="text1"/>
          <w:sz w:val="24"/>
          <w:szCs w:val="24"/>
        </w:rPr>
      </w:pPr>
    </w:p>
    <w:p>
      <w:pPr>
        <w:spacing w:beforeLines="50" w:afterLines="50" w:line="360" w:lineRule="auto"/>
        <w:ind w:firstLine="4096" w:firstLineChars="1700"/>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四、投标承诺书</w:t>
      </w:r>
    </w:p>
    <w:p>
      <w:pPr>
        <w:spacing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u w:val="single"/>
        </w:rPr>
        <w:t>南通农副产品物流有限公司</w:t>
      </w:r>
      <w:r>
        <w:rPr>
          <w:rFonts w:hint="eastAsia" w:asciiTheme="majorEastAsia" w:hAnsiTheme="majorEastAsia" w:eastAsiaTheme="majorEastAsia"/>
          <w:color w:val="000000" w:themeColor="text1"/>
          <w:sz w:val="24"/>
          <w:szCs w:val="24"/>
        </w:rPr>
        <w:t>：</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u w:val="single"/>
        </w:rPr>
        <w:t>（投标单位全称）</w:t>
      </w:r>
      <w:r>
        <w:rPr>
          <w:rFonts w:hint="eastAsia" w:asciiTheme="majorEastAsia" w:hAnsiTheme="majorEastAsia" w:eastAsiaTheme="majorEastAsia"/>
          <w:color w:val="000000" w:themeColor="text1"/>
          <w:sz w:val="24"/>
          <w:szCs w:val="24"/>
        </w:rPr>
        <w:t>授权</w:t>
      </w:r>
      <w:r>
        <w:rPr>
          <w:rFonts w:hint="eastAsia" w:asciiTheme="majorEastAsia" w:hAnsiTheme="majorEastAsia" w:eastAsiaTheme="majorEastAsia"/>
          <w:color w:val="000000" w:themeColor="text1"/>
          <w:sz w:val="24"/>
          <w:szCs w:val="24"/>
          <w:u w:val="single"/>
        </w:rPr>
        <w:t>（姓名）（职务）</w:t>
      </w:r>
      <w:r>
        <w:rPr>
          <w:rFonts w:hint="eastAsia" w:asciiTheme="majorEastAsia" w:hAnsiTheme="majorEastAsia" w:eastAsiaTheme="majorEastAsia"/>
          <w:color w:val="000000" w:themeColor="text1"/>
          <w:sz w:val="24"/>
          <w:szCs w:val="24"/>
        </w:rPr>
        <w:t xml:space="preserve">为全权代表，参加南通农副产品物流有限公司 </w:t>
      </w:r>
      <w:r>
        <w:rPr>
          <w:rFonts w:hint="eastAsia" w:asciiTheme="majorEastAsia" w:hAnsiTheme="majorEastAsia" w:eastAsiaTheme="majorEastAsia"/>
          <w:color w:val="000000" w:themeColor="text1"/>
          <w:sz w:val="24"/>
          <w:szCs w:val="24"/>
          <w:u w:val="single"/>
        </w:rPr>
        <w:t xml:space="preserve">      </w:t>
      </w:r>
      <w:r>
        <w:rPr>
          <w:rFonts w:asciiTheme="majorEastAsia" w:hAnsiTheme="majorEastAsia" w:eastAsiaTheme="majorEastAsia"/>
          <w:color w:val="000000" w:themeColor="text1"/>
          <w:sz w:val="24"/>
          <w:szCs w:val="24"/>
          <w:u w:val="single"/>
        </w:rPr>
        <w:t xml:space="preserve">         </w:t>
      </w:r>
      <w:r>
        <w:rPr>
          <w:rFonts w:hint="eastAsia" w:asciiTheme="majorEastAsia" w:hAnsiTheme="majorEastAsia" w:eastAsiaTheme="majorEastAsia"/>
          <w:color w:val="000000" w:themeColor="text1"/>
          <w:sz w:val="24"/>
          <w:szCs w:val="24"/>
          <w:u w:val="single"/>
        </w:rPr>
        <w:t xml:space="preserve">      （项目名称）</w:t>
      </w:r>
      <w:r>
        <w:rPr>
          <w:rFonts w:hint="eastAsia" w:asciiTheme="majorEastAsia" w:hAnsiTheme="majorEastAsia" w:eastAsiaTheme="majorEastAsia"/>
          <w:color w:val="000000" w:themeColor="text1"/>
          <w:sz w:val="24"/>
          <w:szCs w:val="24"/>
        </w:rPr>
        <w:t>招标的有关活动，并宣布同意如下：</w:t>
      </w:r>
    </w:p>
    <w:p>
      <w:pPr>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w:t>
      </w:r>
      <w:r>
        <w:rPr>
          <w:rFonts w:hint="eastAsia" w:asciiTheme="majorEastAsia" w:hAnsiTheme="majorEastAsia" w:eastAsiaTheme="majorEastAsia"/>
          <w:color w:val="000000" w:themeColor="text1"/>
          <w:sz w:val="24"/>
          <w:szCs w:val="24"/>
        </w:rPr>
        <w:t>．我方愿意按照招标文件的全部要求进行投标（投标内容及价格以投标文件为准）。</w:t>
      </w:r>
    </w:p>
    <w:p>
      <w:pPr>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2</w:t>
      </w:r>
      <w:r>
        <w:rPr>
          <w:rFonts w:hint="eastAsia" w:asciiTheme="majorEastAsia" w:hAnsiTheme="majorEastAsia" w:eastAsiaTheme="majorEastAsia"/>
          <w:color w:val="000000" w:themeColor="text1"/>
          <w:sz w:val="24"/>
          <w:szCs w:val="24"/>
        </w:rPr>
        <w:t>．我方完全理解并同意放弃对招标文件有不明及误解的权利。</w:t>
      </w:r>
    </w:p>
    <w:p>
      <w:pPr>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3</w:t>
      </w:r>
      <w:r>
        <w:rPr>
          <w:rFonts w:hint="eastAsia" w:asciiTheme="majorEastAsia" w:hAnsiTheme="majorEastAsia" w:eastAsiaTheme="majorEastAsia"/>
          <w:color w:val="000000" w:themeColor="text1"/>
          <w:sz w:val="24"/>
          <w:szCs w:val="24"/>
        </w:rPr>
        <w:t>．我方将按招标文件的规定履行合同责任和义务。</w:t>
      </w:r>
    </w:p>
    <w:p>
      <w:pPr>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4</w:t>
      </w:r>
      <w:r>
        <w:rPr>
          <w:rFonts w:hint="eastAsia" w:asciiTheme="majorEastAsia" w:hAnsiTheme="majorEastAsia" w:eastAsiaTheme="majorEastAsia"/>
          <w:color w:val="000000" w:themeColor="text1"/>
          <w:sz w:val="24"/>
          <w:szCs w:val="24"/>
        </w:rPr>
        <w:t>．如果我方在投标有效期内撤回投标，投标保证金将被贵方没收。</w:t>
      </w:r>
    </w:p>
    <w:p>
      <w:pPr>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5</w:t>
      </w:r>
      <w:r>
        <w:rPr>
          <w:rFonts w:hint="eastAsia" w:asciiTheme="majorEastAsia" w:hAnsiTheme="majorEastAsia" w:eastAsiaTheme="majorEastAsia"/>
          <w:color w:val="000000" w:themeColor="text1"/>
          <w:sz w:val="24"/>
          <w:szCs w:val="24"/>
        </w:rPr>
        <w:t>．我方同意提供按照贵方可能要求的与其投标有关的一切数据或资料，理解贵方不一定要选择最低价的投标。</w:t>
      </w:r>
    </w:p>
    <w:p>
      <w:pPr>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6</w:t>
      </w:r>
      <w:r>
        <w:rPr>
          <w:rFonts w:hint="eastAsia" w:asciiTheme="majorEastAsia" w:hAnsiTheme="majorEastAsia" w:eastAsiaTheme="majorEastAsia"/>
          <w:color w:val="000000" w:themeColor="text1"/>
          <w:sz w:val="24"/>
          <w:szCs w:val="24"/>
        </w:rPr>
        <w:t>．我方的投标书自开标后</w:t>
      </w:r>
      <w:r>
        <w:rPr>
          <w:rFonts w:asciiTheme="majorEastAsia" w:hAnsiTheme="majorEastAsia" w:eastAsiaTheme="majorEastAsia"/>
          <w:color w:val="000000" w:themeColor="text1"/>
          <w:sz w:val="24"/>
          <w:szCs w:val="24"/>
        </w:rPr>
        <w:t>30</w:t>
      </w:r>
      <w:r>
        <w:rPr>
          <w:rFonts w:hint="eastAsia" w:asciiTheme="majorEastAsia" w:hAnsiTheme="majorEastAsia" w:eastAsiaTheme="majorEastAsia"/>
          <w:color w:val="000000" w:themeColor="text1"/>
          <w:sz w:val="24"/>
          <w:szCs w:val="24"/>
        </w:rPr>
        <w:t>天内有效</w:t>
      </w:r>
    </w:p>
    <w:p>
      <w:pPr>
        <w:spacing w:line="360" w:lineRule="auto"/>
        <w:ind w:firstLine="480" w:firstLineChars="200"/>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7</w:t>
      </w:r>
      <w:r>
        <w:rPr>
          <w:rFonts w:hint="eastAsia" w:asciiTheme="majorEastAsia" w:hAnsiTheme="majorEastAsia" w:eastAsiaTheme="majorEastAsia"/>
          <w:color w:val="000000" w:themeColor="text1"/>
          <w:sz w:val="24"/>
          <w:szCs w:val="24"/>
        </w:rPr>
        <w:t>．与本投标有关的一切往来通讯请寄：</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地址：　　　　　　　　　　　　　邮编：</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电话：　　　　　　　　　　　　　传真：</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授权委托人签字：　　　　　　　　职务：</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投标单位名称：（加盖单位公章）</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日期：  年  月  日　　</w:t>
      </w:r>
    </w:p>
    <w:p>
      <w:pPr>
        <w:spacing w:line="360" w:lineRule="auto"/>
        <w:rPr>
          <w:rFonts w:asciiTheme="majorEastAsia" w:hAnsiTheme="majorEastAsia" w:eastAsiaTheme="majorEastAsia"/>
          <w:color w:val="000000" w:themeColor="text1"/>
          <w:sz w:val="24"/>
          <w:szCs w:val="24"/>
        </w:rPr>
      </w:pPr>
    </w:p>
    <w:p>
      <w:pPr>
        <w:pStyle w:val="2"/>
        <w:ind w:firstLine="480"/>
        <w:rPr>
          <w:rFonts w:asciiTheme="majorEastAsia" w:hAnsiTheme="majorEastAsia" w:eastAsiaTheme="majorEastAsia"/>
          <w:color w:val="000000" w:themeColor="text1"/>
          <w:sz w:val="24"/>
          <w:szCs w:val="24"/>
        </w:rPr>
      </w:pPr>
    </w:p>
    <w:p>
      <w:pPr>
        <w:pStyle w:val="2"/>
        <w:ind w:firstLine="480"/>
        <w:rPr>
          <w:rFonts w:asciiTheme="majorEastAsia" w:hAnsiTheme="majorEastAsia" w:eastAsiaTheme="majorEastAsia"/>
          <w:color w:val="000000" w:themeColor="text1"/>
          <w:sz w:val="24"/>
          <w:szCs w:val="24"/>
        </w:rPr>
      </w:pPr>
    </w:p>
    <w:p>
      <w:pPr>
        <w:pStyle w:val="2"/>
        <w:ind w:firstLine="480"/>
        <w:rPr>
          <w:rFonts w:asciiTheme="majorEastAsia" w:hAnsiTheme="majorEastAsia" w:eastAsiaTheme="majorEastAsia"/>
          <w:color w:val="000000" w:themeColor="text1"/>
          <w:sz w:val="24"/>
          <w:szCs w:val="24"/>
        </w:rPr>
      </w:pPr>
    </w:p>
    <w:p>
      <w:pPr>
        <w:pStyle w:val="2"/>
        <w:ind w:firstLine="480"/>
        <w:rPr>
          <w:rFonts w:asciiTheme="majorEastAsia" w:hAnsiTheme="majorEastAsia" w:eastAsiaTheme="majorEastAsia"/>
          <w:color w:val="000000" w:themeColor="text1"/>
          <w:sz w:val="24"/>
          <w:szCs w:val="24"/>
        </w:rPr>
      </w:pPr>
    </w:p>
    <w:p>
      <w:pPr>
        <w:spacing w:beforeLines="50" w:afterLines="50" w:line="360" w:lineRule="auto"/>
        <w:ind w:firstLine="3373" w:firstLineChars="1400"/>
        <w:rPr>
          <w:rFonts w:asciiTheme="majorEastAsia" w:hAnsiTheme="majorEastAsia" w:eastAsiaTheme="majorEastAsia"/>
          <w:b/>
          <w:color w:val="000000" w:themeColor="text1"/>
          <w:sz w:val="24"/>
          <w:szCs w:val="24"/>
        </w:rPr>
      </w:pPr>
      <w:r>
        <w:rPr>
          <w:rFonts w:hint="eastAsia" w:asciiTheme="majorEastAsia" w:hAnsiTheme="majorEastAsia" w:eastAsiaTheme="majorEastAsia"/>
          <w:b/>
          <w:color w:val="000000" w:themeColor="text1"/>
          <w:sz w:val="24"/>
          <w:szCs w:val="24"/>
        </w:rPr>
        <w:t>五、磋商报价明细表（格式自拟）</w:t>
      </w:r>
    </w:p>
    <w:p>
      <w:pPr>
        <w:pStyle w:val="2"/>
      </w:pPr>
    </w:p>
    <w:p>
      <w:pPr>
        <w:pStyle w:val="2"/>
      </w:pPr>
    </w:p>
    <w:p>
      <w:pPr>
        <w:pStyle w:val="2"/>
      </w:pPr>
    </w:p>
    <w:p>
      <w:pPr>
        <w:pStyle w:val="2"/>
      </w:pPr>
    </w:p>
    <w:p>
      <w:pPr>
        <w:pStyle w:val="2"/>
      </w:pPr>
    </w:p>
    <w:p>
      <w:pPr>
        <w:pStyle w:val="2"/>
      </w:pPr>
    </w:p>
    <w:p>
      <w:pPr>
        <w:rPr>
          <w:rFonts w:ascii="宋体" w:hAnsi="宋体" w:eastAsia="宋体" w:cs="Times New Roman"/>
          <w:color w:val="000000"/>
          <w:szCs w:val="24"/>
        </w:rPr>
      </w:pPr>
      <w:r>
        <w:rPr>
          <w:rFonts w:hint="eastAsia" w:ascii="宋体" w:hAnsi="宋体" w:eastAsia="宋体" w:cs="宋体"/>
          <w:kern w:val="0"/>
          <w:sz w:val="28"/>
          <w:szCs w:val="28"/>
        </w:rPr>
        <w:t>附件：</w:t>
      </w:r>
    </w:p>
    <w:tbl>
      <w:tblPr>
        <w:tblStyle w:val="19"/>
        <w:tblW w:w="0" w:type="auto"/>
        <w:jc w:val="center"/>
        <w:tblLayout w:type="fixed"/>
        <w:tblCellMar>
          <w:top w:w="15" w:type="dxa"/>
          <w:left w:w="15" w:type="dxa"/>
          <w:bottom w:w="15" w:type="dxa"/>
          <w:right w:w="15" w:type="dxa"/>
        </w:tblCellMar>
      </w:tblPr>
      <w:tblGrid>
        <w:gridCol w:w="608"/>
        <w:gridCol w:w="3446"/>
        <w:gridCol w:w="2149"/>
        <w:gridCol w:w="672"/>
        <w:gridCol w:w="701"/>
        <w:gridCol w:w="3071"/>
      </w:tblGrid>
      <w:tr>
        <w:tblPrEx>
          <w:tblCellMar>
            <w:top w:w="15" w:type="dxa"/>
            <w:left w:w="15" w:type="dxa"/>
            <w:bottom w:w="15" w:type="dxa"/>
            <w:right w:w="15" w:type="dxa"/>
          </w:tblCellMar>
        </w:tblPrEx>
        <w:trPr>
          <w:trHeight w:val="283" w:hRule="exact"/>
          <w:jc w:val="center"/>
        </w:trPr>
        <w:tc>
          <w:tcPr>
            <w:tcW w:w="10647" w:type="dxa"/>
            <w:gridSpan w:val="6"/>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电梯配件及价格清单</w:t>
            </w: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序号</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内容</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型号</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单位</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数量</w:t>
            </w: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b/>
                <w:color w:val="000000"/>
                <w:szCs w:val="21"/>
              </w:rPr>
            </w:pPr>
            <w:r>
              <w:rPr>
                <w:rFonts w:hint="eastAsia" w:ascii="宋体" w:hAnsi="宋体" w:eastAsia="宋体" w:cs="仿宋"/>
                <w:b/>
                <w:color w:val="000000"/>
                <w:kern w:val="0"/>
                <w:szCs w:val="21"/>
              </w:rPr>
              <w:t>价格（元）</w:t>
            </w: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三角锁（C2）</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触头P0-Bet.391.146.2156</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触体AIZP</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按钮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滚轮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皮带轮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缓冲圈</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缓冲橡皮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门电动机炭刷</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蜂鸣器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急停开关</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门球</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接触器辅助触头</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门滑块</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滑轮组件（小带轮组件）</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门刀弹簧</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95"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门导轮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重锤钢丝绳</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19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同步钢丝绳</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偏心轮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风扇电容</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门锁弹簧连座</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原装门头</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原装地坎</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厅门门锁</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轿门门锁</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门刀弹簧</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29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挂板轮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门机皮带</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层门门锁</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外呼板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厅门门板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门板挂板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门板挂轮（3吨）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防扒门装置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防扒门支架</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门厅自闭弹簧</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39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变压器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联动门同步带</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变速箱清理、加油</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电梯主板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门机变频器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电梯通讯板</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厅门锁</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锁钩组件</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厅门门锁触点、触体</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应急电源电池12VDC/6.3Ah</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49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熔断器SIA(微型断路器)50A C 3P</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接触器3KW 3P INC 24VDC C.C</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R-继电器模块 230VAC….288-508</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光栅 PHUET</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接触器 SGRW</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轿厢导靴 4402（3T）</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限位开关 型号:QM-S3-1370</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XD厅门161B门锁左（PB152B）</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微动开关PMS420</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操纵厢LOM1.Q接口版</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59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相序继电器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IGBV200用齿形带</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印板BCM 2.Q</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管状电阻（WBR)</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辅助触点3RH1921-2FJ22</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64</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主开关辅助触点 OA2L11 16A</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65</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V30中分门的重锤组件 用于BT=1000-1100</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66</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双稳态磁开关 型号：KCB-1 限双速梯</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67</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M型呼梯按钮（螺丝固定）</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68</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r>
              <w:rPr>
                <w:rFonts w:hint="eastAsia" w:ascii="宋体" w:hAnsi="宋体" w:eastAsia="宋体" w:cs="仿宋"/>
                <w:color w:val="000000"/>
                <w:kern w:val="0"/>
                <w:szCs w:val="21"/>
              </w:rPr>
              <w:t>专业级塑柄受用黄油枪（400cc）-世达 97203</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仿宋"/>
                <w:color w:val="00000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69</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限速器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70</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缓冲器</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71</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曳引轮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72</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加油装置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r>
        <w:tblPrEx>
          <w:tblCellMar>
            <w:top w:w="15" w:type="dxa"/>
            <w:left w:w="15" w:type="dxa"/>
            <w:bottom w:w="15" w:type="dxa"/>
            <w:right w:w="15" w:type="dxa"/>
          </w:tblCellMar>
        </w:tblPrEx>
        <w:trPr>
          <w:trHeight w:val="283" w:hRule="exact"/>
          <w:jc w:val="center"/>
        </w:trPr>
        <w:tc>
          <w:tcPr>
            <w:tcW w:w="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73</w:t>
            </w:r>
          </w:p>
        </w:tc>
        <w:tc>
          <w:tcPr>
            <w:tcW w:w="3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r>
              <w:rPr>
                <w:rFonts w:hint="eastAsia" w:ascii="宋体" w:hAnsi="宋体" w:eastAsia="宋体" w:cs="仿宋"/>
                <w:color w:val="000000"/>
                <w:kern w:val="0"/>
                <w:szCs w:val="21"/>
              </w:rPr>
              <w:t>对讲电话</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仿宋"/>
                <w:color w:val="000000"/>
                <w:kern w:val="0"/>
                <w:szCs w:val="21"/>
              </w:rPr>
            </w:pPr>
          </w:p>
        </w:tc>
      </w:tr>
    </w:tbl>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pStyle w:val="2"/>
      </w:pPr>
    </w:p>
    <w:p>
      <w:pPr>
        <w:pStyle w:val="2"/>
        <w:ind w:firstLine="480"/>
        <w:rPr>
          <w:rFonts w:asciiTheme="majorEastAsia" w:hAnsiTheme="majorEastAsia" w:eastAsiaTheme="majorEastAsia"/>
          <w:color w:val="000000" w:themeColor="text1"/>
          <w:sz w:val="24"/>
          <w:szCs w:val="24"/>
        </w:rPr>
      </w:pPr>
    </w:p>
    <w:p>
      <w:pPr>
        <w:pStyle w:val="2"/>
        <w:ind w:firstLine="480"/>
        <w:rPr>
          <w:rFonts w:asciiTheme="majorEastAsia" w:hAnsiTheme="majorEastAsia" w:eastAsiaTheme="majorEastAsia"/>
          <w:color w:val="000000" w:themeColor="text1"/>
          <w:sz w:val="24"/>
          <w:szCs w:val="24"/>
        </w:rPr>
      </w:pPr>
    </w:p>
    <w:p>
      <w:pPr>
        <w:pStyle w:val="2"/>
        <w:ind w:firstLine="480"/>
        <w:rPr>
          <w:rFonts w:asciiTheme="majorEastAsia" w:hAnsiTheme="majorEastAsia" w:eastAsiaTheme="majorEastAsia"/>
          <w:color w:val="000000" w:themeColor="text1"/>
          <w:sz w:val="24"/>
          <w:szCs w:val="24"/>
        </w:rPr>
      </w:pPr>
    </w:p>
    <w:p>
      <w:pPr>
        <w:pStyle w:val="2"/>
        <w:ind w:firstLine="480"/>
        <w:rPr>
          <w:rFonts w:asciiTheme="majorEastAsia" w:hAnsiTheme="majorEastAsia" w:eastAsiaTheme="majorEastAsia"/>
          <w:color w:val="000000" w:themeColor="text1"/>
          <w:sz w:val="24"/>
          <w:szCs w:val="24"/>
        </w:rPr>
      </w:pPr>
    </w:p>
    <w:sectPr>
      <w:headerReference r:id="rId5" w:type="default"/>
      <w:footerReference r:id="rId6" w:type="default"/>
      <w:pgSz w:w="11906" w:h="16838"/>
      <w:pgMar w:top="1418" w:right="1134" w:bottom="1418"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ºÚÌå">
    <w:altName w:val="Arial"/>
    <w:panose1 w:val="00000000000000000000"/>
    <w:charset w:val="00"/>
    <w:family w:val="swiss"/>
    <w:pitch w:val="default"/>
    <w:sig w:usb0="00000000" w:usb1="00000000" w:usb2="00000000" w:usb3="00000000" w:csb0="00000001" w:csb1="00000000"/>
  </w:font>
  <w:font w:name="ËÎÌå">
    <w:altName w:val="Arial"/>
    <w:panose1 w:val="000000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8063"/>
    </w:sdtPr>
    <w:sdtContent>
      <w:sdt>
        <w:sdtPr>
          <w:id w:val="98381352"/>
        </w:sdtPr>
        <w:sdtContent>
          <w:p>
            <w:pPr>
              <w:pStyle w:val="14"/>
              <w:jc w:val="center"/>
            </w:pPr>
            <w:r>
              <w:rPr>
                <w:rFonts w:asciiTheme="majorEastAsia" w:hAnsiTheme="majorEastAsia" w:eastAsiaTheme="majorEastAsia"/>
                <w:lang w:val="zh-CN"/>
              </w:rPr>
              <w:t xml:space="preserve"> </w:t>
            </w:r>
            <w:r>
              <w:rPr>
                <w:rFonts w:asciiTheme="majorEastAsia" w:hAnsiTheme="majorEastAsia" w:eastAsiaTheme="majorEastAsia"/>
                <w:b/>
                <w:sz w:val="24"/>
                <w:szCs w:val="24"/>
              </w:rPr>
              <w:fldChar w:fldCharType="begin"/>
            </w:r>
            <w:r>
              <w:rPr>
                <w:rFonts w:asciiTheme="majorEastAsia" w:hAnsiTheme="majorEastAsia" w:eastAsiaTheme="majorEastAsia"/>
                <w:b/>
              </w:rPr>
              <w:instrText xml:space="preserve">PAGE</w:instrText>
            </w:r>
            <w:r>
              <w:rPr>
                <w:rFonts w:asciiTheme="majorEastAsia" w:hAnsiTheme="majorEastAsia" w:eastAsiaTheme="majorEastAsia"/>
                <w:b/>
                <w:sz w:val="24"/>
                <w:szCs w:val="24"/>
              </w:rPr>
              <w:fldChar w:fldCharType="separate"/>
            </w:r>
            <w:r>
              <w:rPr>
                <w:rFonts w:asciiTheme="majorEastAsia" w:hAnsiTheme="majorEastAsia" w:eastAsiaTheme="majorEastAsia"/>
                <w:b/>
              </w:rPr>
              <w:t>3</w:t>
            </w:r>
            <w:r>
              <w:rPr>
                <w:rFonts w:asciiTheme="majorEastAsia" w:hAnsiTheme="majorEastAsia" w:eastAsiaTheme="majorEastAsia"/>
                <w:b/>
                <w:sz w:val="24"/>
                <w:szCs w:val="24"/>
              </w:rPr>
              <w:fldChar w:fldCharType="end"/>
            </w:r>
            <w:r>
              <w:rPr>
                <w:rFonts w:asciiTheme="majorEastAsia" w:hAnsiTheme="majorEastAsia" w:eastAsiaTheme="majorEastAsia"/>
                <w:lang w:val="zh-CN"/>
              </w:rPr>
              <w:t xml:space="preserve"> / </w:t>
            </w:r>
            <w:r>
              <w:rPr>
                <w:rFonts w:asciiTheme="majorEastAsia" w:hAnsiTheme="majorEastAsia" w:eastAsiaTheme="majorEastAsia"/>
                <w:b/>
                <w:sz w:val="24"/>
                <w:szCs w:val="24"/>
              </w:rPr>
              <w:fldChar w:fldCharType="begin"/>
            </w:r>
            <w:r>
              <w:rPr>
                <w:rFonts w:asciiTheme="majorEastAsia" w:hAnsiTheme="majorEastAsia" w:eastAsiaTheme="majorEastAsia"/>
                <w:b/>
              </w:rPr>
              <w:instrText xml:space="preserve">NUMPAGES</w:instrText>
            </w:r>
            <w:r>
              <w:rPr>
                <w:rFonts w:asciiTheme="majorEastAsia" w:hAnsiTheme="majorEastAsia" w:eastAsiaTheme="majorEastAsia"/>
                <w:b/>
                <w:sz w:val="24"/>
                <w:szCs w:val="24"/>
              </w:rPr>
              <w:fldChar w:fldCharType="separate"/>
            </w:r>
            <w:r>
              <w:rPr>
                <w:rFonts w:asciiTheme="majorEastAsia" w:hAnsiTheme="majorEastAsia" w:eastAsiaTheme="majorEastAsia"/>
                <w:b/>
              </w:rPr>
              <w:t>37</w:t>
            </w:r>
            <w:r>
              <w:rPr>
                <w:rFonts w:asciiTheme="majorEastAsia" w:hAnsiTheme="majorEastAsia" w:eastAsiaTheme="majorEastAsia"/>
                <w:b/>
                <w:sz w:val="24"/>
                <w:szCs w:val="24"/>
              </w:rPr>
              <w:fldChar w:fldCharType="end"/>
            </w:r>
          </w:p>
        </w:sdtContent>
      </w:sdt>
    </w:sdtContent>
  </w:sdt>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5305"/>
    </w:sdtPr>
    <w:sdtContent>
      <w:p>
        <w:pPr>
          <w:jc w:val="center"/>
        </w:pPr>
        <w:r>
          <w:rPr>
            <w:lang w:val="zh-CN"/>
          </w:rPr>
          <w:t xml:space="preserve"> </w:t>
        </w:r>
        <w:r>
          <w:fldChar w:fldCharType="begin"/>
        </w:r>
        <w:r>
          <w:instrText xml:space="preserve"> PAGE </w:instrText>
        </w:r>
        <w:r>
          <w:fldChar w:fldCharType="separate"/>
        </w:r>
        <w:r>
          <w:t>32</w:t>
        </w:r>
        <w:r>
          <w:fldChar w:fldCharType="end"/>
        </w:r>
        <w:r>
          <w:rPr>
            <w:lang w:val="zh-CN"/>
          </w:rPr>
          <w:t xml:space="preserve"> / </w:t>
        </w:r>
        <w:r>
          <w:fldChar w:fldCharType="begin"/>
        </w:r>
        <w:r>
          <w:instrText xml:space="preserve"> NUMPAGES  </w:instrText>
        </w:r>
        <w:r>
          <w:fldChar w:fldCharType="separate"/>
        </w:r>
        <w:r>
          <w:t>37</w:t>
        </w:r>
        <w:r>
          <w:fldChar w:fldCharType="end"/>
        </w:r>
      </w:p>
    </w:sdtContent>
  </w:sdt>
  <w:p>
    <w:pPr>
      <w:pStyle w:val="14"/>
      <w:rPr>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0F37E"/>
    <w:multiLevelType w:val="singleLevel"/>
    <w:tmpl w:val="AF80F37E"/>
    <w:lvl w:ilvl="0" w:tentative="0">
      <w:start w:val="3"/>
      <w:numFmt w:val="chineseCounting"/>
      <w:suff w:val="space"/>
      <w:lvlText w:val="第%1章"/>
      <w:lvlJc w:val="left"/>
      <w:rPr>
        <w:rFonts w:hint="eastAsia"/>
      </w:rPr>
    </w:lvl>
  </w:abstractNum>
  <w:abstractNum w:abstractNumId="1">
    <w:nsid w:val="0F527228"/>
    <w:multiLevelType w:val="multilevel"/>
    <w:tmpl w:val="0F527228"/>
    <w:lvl w:ilvl="0" w:tentative="0">
      <w:start w:val="4"/>
      <w:numFmt w:val="japaneseCounting"/>
      <w:lvlText w:val="%1、"/>
      <w:lvlJc w:val="left"/>
      <w:pPr>
        <w:ind w:left="1013" w:hanging="600"/>
      </w:pPr>
      <w:rPr>
        <w:rFonts w:hint="default"/>
        <w:b/>
        <w:sz w:val="28"/>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2">
    <w:nsid w:val="32DD7AD6"/>
    <w:multiLevelType w:val="multilevel"/>
    <w:tmpl w:val="32DD7AD6"/>
    <w:lvl w:ilvl="0" w:tentative="0">
      <w:start w:val="1"/>
      <w:numFmt w:val="decimal"/>
      <w:pStyle w:val="7"/>
      <w:lvlText w:val="%1"/>
      <w:lvlJc w:val="left"/>
      <w:pPr>
        <w:tabs>
          <w:tab w:val="left" w:pos="907"/>
        </w:tabs>
        <w:ind w:left="907" w:hanging="907"/>
      </w:pPr>
      <w:rPr>
        <w:rFonts w:hint="eastAsia"/>
      </w:rPr>
    </w:lvl>
    <w:lvl w:ilvl="1" w:tentative="0">
      <w:start w:val="1"/>
      <w:numFmt w:val="decimal"/>
      <w:lvlText w:val="%1.%2"/>
      <w:lvlJc w:val="left"/>
      <w:pPr>
        <w:tabs>
          <w:tab w:val="left" w:pos="907"/>
        </w:tabs>
        <w:ind w:left="907" w:hanging="907"/>
      </w:pPr>
      <w:rPr>
        <w:rFonts w:hint="eastAsia"/>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07"/>
        </w:tabs>
        <w:ind w:left="907" w:hanging="907"/>
      </w:pPr>
      <w:rPr>
        <w:rFonts w:hint="eastAsia"/>
      </w:rPr>
    </w:lvl>
    <w:lvl w:ilvl="5" w:tentative="0">
      <w:start w:val="1"/>
      <w:numFmt w:val="decimal"/>
      <w:lvlText w:val="%1.%2.%3.%4.%5.%6"/>
      <w:lvlJc w:val="left"/>
      <w:pPr>
        <w:tabs>
          <w:tab w:val="left" w:pos="907"/>
        </w:tabs>
        <w:ind w:left="907" w:hanging="907"/>
      </w:pPr>
      <w:rPr>
        <w:rFonts w:hint="eastAsia"/>
      </w:rPr>
    </w:lvl>
    <w:lvl w:ilvl="6" w:tentative="0">
      <w:start w:val="1"/>
      <w:numFmt w:val="decimal"/>
      <w:lvlText w:val="%1.%2.%3.%4.%5.%6.%7"/>
      <w:lvlJc w:val="left"/>
      <w:pPr>
        <w:tabs>
          <w:tab w:val="left" w:pos="907"/>
        </w:tabs>
        <w:ind w:left="907" w:hanging="907"/>
      </w:pPr>
      <w:rPr>
        <w:rFonts w:hint="eastAsia"/>
      </w:rPr>
    </w:lvl>
    <w:lvl w:ilvl="7" w:tentative="0">
      <w:start w:val="1"/>
      <w:numFmt w:val="decimal"/>
      <w:lvlText w:val="%1.%2.%3.%4.%5.%6.%7.%8"/>
      <w:lvlJc w:val="left"/>
      <w:pPr>
        <w:tabs>
          <w:tab w:val="left" w:pos="907"/>
        </w:tabs>
        <w:ind w:left="907" w:hanging="907"/>
      </w:pPr>
      <w:rPr>
        <w:rFonts w:hint="eastAsia"/>
      </w:rPr>
    </w:lvl>
    <w:lvl w:ilvl="8" w:tentative="0">
      <w:start w:val="1"/>
      <w:numFmt w:val="decimal"/>
      <w:lvlText w:val="%1.%2.%3.%4.%5.%6.%7.%8.%9"/>
      <w:lvlJc w:val="left"/>
      <w:pPr>
        <w:tabs>
          <w:tab w:val="left" w:pos="907"/>
        </w:tabs>
        <w:ind w:left="907" w:hanging="907"/>
      </w:pPr>
      <w:rPr>
        <w:rFonts w:hint="eastAsia"/>
      </w:rPr>
    </w:lvl>
  </w:abstractNum>
  <w:abstractNum w:abstractNumId="3">
    <w:nsid w:val="4BEE3991"/>
    <w:multiLevelType w:val="multilevel"/>
    <w:tmpl w:val="4BEE3991"/>
    <w:lvl w:ilvl="0" w:tentative="0">
      <w:start w:val="1"/>
      <w:numFmt w:val="decimal"/>
      <w:lvlText w:val="%1"/>
      <w:lvlJc w:val="left"/>
      <w:pPr>
        <w:ind w:left="432" w:hanging="432"/>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pStyle w:val="6"/>
      <w:lvlText w:val="%1.%2"/>
      <w:lvlJc w:val="left"/>
      <w:pPr>
        <w:ind w:left="576" w:hanging="576"/>
      </w:pPr>
    </w:lvl>
    <w:lvl w:ilvl="2" w:tentative="0">
      <w:start w:val="1"/>
      <w:numFmt w:val="decimal"/>
      <w:lvlText w:val="%1.%2.%3"/>
      <w:lvlJc w:val="left"/>
      <w:pPr>
        <w:ind w:left="720" w:hanging="720"/>
      </w:pPr>
      <w:rPr>
        <w:b w:val="0"/>
        <w:bCs w:val="0"/>
        <w:i w:val="0"/>
        <w:iCs w:val="0"/>
        <w:caps w:val="0"/>
        <w:smallCaps w:val="0"/>
        <w:strike w:val="0"/>
        <w:dstrike w:val="0"/>
        <w:outline w:val="0"/>
        <w:shadow w:val="0"/>
        <w:emboss w:val="0"/>
        <w:imprint w:val="0"/>
        <w:vanish w:val="0"/>
        <w:spacing w:val="0"/>
        <w:position w:val="0"/>
        <w:u w:val="none"/>
        <w:vertAlign w:val="baseline"/>
        <w:lang w:bidi="zh-CN"/>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7356703E"/>
    <w:multiLevelType w:val="multilevel"/>
    <w:tmpl w:val="7356703E"/>
    <w:lvl w:ilvl="0" w:tentative="0">
      <w:start w:val="1"/>
      <w:numFmt w:val="decimal"/>
      <w:pStyle w:val="3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2304"/>
    <w:rsid w:val="00010633"/>
    <w:rsid w:val="000209A1"/>
    <w:rsid w:val="0003431A"/>
    <w:rsid w:val="000827B7"/>
    <w:rsid w:val="00093D1E"/>
    <w:rsid w:val="000E52F6"/>
    <w:rsid w:val="000F7CD0"/>
    <w:rsid w:val="00100B1C"/>
    <w:rsid w:val="001238CE"/>
    <w:rsid w:val="001271C6"/>
    <w:rsid w:val="00171F32"/>
    <w:rsid w:val="00172289"/>
    <w:rsid w:val="0018067F"/>
    <w:rsid w:val="00191406"/>
    <w:rsid w:val="001920C7"/>
    <w:rsid w:val="001A043A"/>
    <w:rsid w:val="001A7FDD"/>
    <w:rsid w:val="001B0045"/>
    <w:rsid w:val="001B444F"/>
    <w:rsid w:val="001D235D"/>
    <w:rsid w:val="001E00E2"/>
    <w:rsid w:val="001E4636"/>
    <w:rsid w:val="002058C6"/>
    <w:rsid w:val="00207A83"/>
    <w:rsid w:val="00274F52"/>
    <w:rsid w:val="002A2303"/>
    <w:rsid w:val="002B3E2E"/>
    <w:rsid w:val="002D57E7"/>
    <w:rsid w:val="00312A39"/>
    <w:rsid w:val="00325099"/>
    <w:rsid w:val="00337F44"/>
    <w:rsid w:val="003A4745"/>
    <w:rsid w:val="003B7DBC"/>
    <w:rsid w:val="003D2F7F"/>
    <w:rsid w:val="003D3151"/>
    <w:rsid w:val="003E152F"/>
    <w:rsid w:val="003E4F2D"/>
    <w:rsid w:val="003E648F"/>
    <w:rsid w:val="004120BC"/>
    <w:rsid w:val="00417318"/>
    <w:rsid w:val="004249C4"/>
    <w:rsid w:val="0048795B"/>
    <w:rsid w:val="00490764"/>
    <w:rsid w:val="0049448D"/>
    <w:rsid w:val="004C17F6"/>
    <w:rsid w:val="004C285A"/>
    <w:rsid w:val="004C2DB5"/>
    <w:rsid w:val="004D3292"/>
    <w:rsid w:val="004E096F"/>
    <w:rsid w:val="004E514A"/>
    <w:rsid w:val="004E59EE"/>
    <w:rsid w:val="004F41FF"/>
    <w:rsid w:val="00500C30"/>
    <w:rsid w:val="00512989"/>
    <w:rsid w:val="005B50CA"/>
    <w:rsid w:val="005C48F1"/>
    <w:rsid w:val="005D6B4D"/>
    <w:rsid w:val="005D6D2A"/>
    <w:rsid w:val="005E59B5"/>
    <w:rsid w:val="005F677F"/>
    <w:rsid w:val="00630460"/>
    <w:rsid w:val="00640829"/>
    <w:rsid w:val="00644727"/>
    <w:rsid w:val="00670374"/>
    <w:rsid w:val="006D1817"/>
    <w:rsid w:val="006D3420"/>
    <w:rsid w:val="006D5863"/>
    <w:rsid w:val="00705E1B"/>
    <w:rsid w:val="00707AB4"/>
    <w:rsid w:val="00726762"/>
    <w:rsid w:val="00727EEF"/>
    <w:rsid w:val="00734BD5"/>
    <w:rsid w:val="00744145"/>
    <w:rsid w:val="0076660C"/>
    <w:rsid w:val="00797D20"/>
    <w:rsid w:val="007B2EC3"/>
    <w:rsid w:val="007B7F43"/>
    <w:rsid w:val="007C0AC2"/>
    <w:rsid w:val="007C4153"/>
    <w:rsid w:val="007C4BE8"/>
    <w:rsid w:val="008024E9"/>
    <w:rsid w:val="00840B32"/>
    <w:rsid w:val="00852051"/>
    <w:rsid w:val="00875688"/>
    <w:rsid w:val="008B424F"/>
    <w:rsid w:val="008E2E4A"/>
    <w:rsid w:val="008E6D22"/>
    <w:rsid w:val="00903D22"/>
    <w:rsid w:val="0094633A"/>
    <w:rsid w:val="00947CD4"/>
    <w:rsid w:val="0095003A"/>
    <w:rsid w:val="00963848"/>
    <w:rsid w:val="00976E7D"/>
    <w:rsid w:val="009947B1"/>
    <w:rsid w:val="009A122D"/>
    <w:rsid w:val="009D1A74"/>
    <w:rsid w:val="009D2B60"/>
    <w:rsid w:val="009E28F2"/>
    <w:rsid w:val="009E6085"/>
    <w:rsid w:val="009E6B8D"/>
    <w:rsid w:val="00A06D6B"/>
    <w:rsid w:val="00A26EB0"/>
    <w:rsid w:val="00A33522"/>
    <w:rsid w:val="00A74D38"/>
    <w:rsid w:val="00A85C50"/>
    <w:rsid w:val="00AA76F8"/>
    <w:rsid w:val="00AB0C1B"/>
    <w:rsid w:val="00AB25B8"/>
    <w:rsid w:val="00AB7D30"/>
    <w:rsid w:val="00AE4C67"/>
    <w:rsid w:val="00B2275F"/>
    <w:rsid w:val="00B31046"/>
    <w:rsid w:val="00B325E2"/>
    <w:rsid w:val="00B33A35"/>
    <w:rsid w:val="00B4162D"/>
    <w:rsid w:val="00B56376"/>
    <w:rsid w:val="00B61BDF"/>
    <w:rsid w:val="00B8610B"/>
    <w:rsid w:val="00B91F53"/>
    <w:rsid w:val="00B93E5C"/>
    <w:rsid w:val="00B95546"/>
    <w:rsid w:val="00B96D34"/>
    <w:rsid w:val="00BA10E0"/>
    <w:rsid w:val="00BA55D9"/>
    <w:rsid w:val="00BC3F0A"/>
    <w:rsid w:val="00BD2023"/>
    <w:rsid w:val="00BF4D0F"/>
    <w:rsid w:val="00BF53FF"/>
    <w:rsid w:val="00C503D4"/>
    <w:rsid w:val="00CA3618"/>
    <w:rsid w:val="00CB2304"/>
    <w:rsid w:val="00CE45BB"/>
    <w:rsid w:val="00CF1B69"/>
    <w:rsid w:val="00CF21FF"/>
    <w:rsid w:val="00D02114"/>
    <w:rsid w:val="00D803C1"/>
    <w:rsid w:val="00D90D7E"/>
    <w:rsid w:val="00DB0070"/>
    <w:rsid w:val="00DD3948"/>
    <w:rsid w:val="00DD57D2"/>
    <w:rsid w:val="00DF7F58"/>
    <w:rsid w:val="00E2292F"/>
    <w:rsid w:val="00E3503D"/>
    <w:rsid w:val="00E43974"/>
    <w:rsid w:val="00E6265A"/>
    <w:rsid w:val="00E727A7"/>
    <w:rsid w:val="00E819DB"/>
    <w:rsid w:val="00E917B6"/>
    <w:rsid w:val="00E937BA"/>
    <w:rsid w:val="00EE0F14"/>
    <w:rsid w:val="00F10A54"/>
    <w:rsid w:val="00F302AE"/>
    <w:rsid w:val="00F45536"/>
    <w:rsid w:val="00F62AF9"/>
    <w:rsid w:val="00F9151F"/>
    <w:rsid w:val="00FC2849"/>
    <w:rsid w:val="00FE3DA1"/>
    <w:rsid w:val="00FE46E6"/>
    <w:rsid w:val="0166243F"/>
    <w:rsid w:val="02FF6175"/>
    <w:rsid w:val="04081C87"/>
    <w:rsid w:val="06BD549E"/>
    <w:rsid w:val="06F2281D"/>
    <w:rsid w:val="08325B5F"/>
    <w:rsid w:val="094B1EDD"/>
    <w:rsid w:val="095F2A1E"/>
    <w:rsid w:val="0A5C7DB5"/>
    <w:rsid w:val="0B9E36EB"/>
    <w:rsid w:val="0FCD7F2E"/>
    <w:rsid w:val="1044360F"/>
    <w:rsid w:val="112B36C9"/>
    <w:rsid w:val="11927ADC"/>
    <w:rsid w:val="148661FA"/>
    <w:rsid w:val="168311C0"/>
    <w:rsid w:val="17302CDC"/>
    <w:rsid w:val="17A81C16"/>
    <w:rsid w:val="18693677"/>
    <w:rsid w:val="1B131F13"/>
    <w:rsid w:val="1B847D23"/>
    <w:rsid w:val="1B951941"/>
    <w:rsid w:val="1BE6641B"/>
    <w:rsid w:val="1EF52287"/>
    <w:rsid w:val="1FCA78CF"/>
    <w:rsid w:val="21357B40"/>
    <w:rsid w:val="224410BD"/>
    <w:rsid w:val="22D85109"/>
    <w:rsid w:val="23E33CB0"/>
    <w:rsid w:val="24D4096E"/>
    <w:rsid w:val="27C43CCF"/>
    <w:rsid w:val="2AFD1551"/>
    <w:rsid w:val="2CD156C2"/>
    <w:rsid w:val="310A02A7"/>
    <w:rsid w:val="32067B68"/>
    <w:rsid w:val="32A26C11"/>
    <w:rsid w:val="32DF0D1B"/>
    <w:rsid w:val="35711DBD"/>
    <w:rsid w:val="36CF26EF"/>
    <w:rsid w:val="37627AF7"/>
    <w:rsid w:val="37B63A18"/>
    <w:rsid w:val="37C16CAB"/>
    <w:rsid w:val="3AB41F82"/>
    <w:rsid w:val="3DA67B45"/>
    <w:rsid w:val="40115943"/>
    <w:rsid w:val="430D7ADC"/>
    <w:rsid w:val="457F3304"/>
    <w:rsid w:val="45990EA5"/>
    <w:rsid w:val="479313EB"/>
    <w:rsid w:val="4874409C"/>
    <w:rsid w:val="49A8230C"/>
    <w:rsid w:val="4B4408A8"/>
    <w:rsid w:val="4EBA6B88"/>
    <w:rsid w:val="4F1A5806"/>
    <w:rsid w:val="506D041F"/>
    <w:rsid w:val="52420580"/>
    <w:rsid w:val="53824CDC"/>
    <w:rsid w:val="549146D9"/>
    <w:rsid w:val="54972245"/>
    <w:rsid w:val="56060FAB"/>
    <w:rsid w:val="571B20C2"/>
    <w:rsid w:val="5AA66F62"/>
    <w:rsid w:val="5AF232C4"/>
    <w:rsid w:val="5B2959AA"/>
    <w:rsid w:val="5BBD7981"/>
    <w:rsid w:val="5C07188A"/>
    <w:rsid w:val="5CC15AE3"/>
    <w:rsid w:val="5E484EBA"/>
    <w:rsid w:val="5F04127C"/>
    <w:rsid w:val="61B0656C"/>
    <w:rsid w:val="63BD3B3B"/>
    <w:rsid w:val="649B4801"/>
    <w:rsid w:val="6582110C"/>
    <w:rsid w:val="662728AF"/>
    <w:rsid w:val="66561FE6"/>
    <w:rsid w:val="67436345"/>
    <w:rsid w:val="6B1F7D0E"/>
    <w:rsid w:val="6B5D0DC3"/>
    <w:rsid w:val="6B7F5D23"/>
    <w:rsid w:val="6D671E64"/>
    <w:rsid w:val="6FD92342"/>
    <w:rsid w:val="700166EC"/>
    <w:rsid w:val="72E67FA0"/>
    <w:rsid w:val="763109C7"/>
    <w:rsid w:val="76960378"/>
    <w:rsid w:val="77101357"/>
    <w:rsid w:val="776F5455"/>
    <w:rsid w:val="77DC14AC"/>
    <w:rsid w:val="7D0B2C45"/>
    <w:rsid w:val="7D985455"/>
    <w:rsid w:val="7F056E4B"/>
    <w:rsid w:val="7FB612E0"/>
    <w:rsid w:val="7FF205B9"/>
    <w:rsid w:val="7FFD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6">
    <w:name w:val="heading 2"/>
    <w:basedOn w:val="1"/>
    <w:next w:val="1"/>
    <w:qFormat/>
    <w:uiPriority w:val="0"/>
    <w:pPr>
      <w:keepNext/>
      <w:keepLines/>
      <w:numPr>
        <w:ilvl w:val="1"/>
        <w:numId w:val="1"/>
      </w:numPr>
      <w:spacing w:before="260" w:after="260" w:line="416" w:lineRule="auto"/>
      <w:outlineLvl w:val="1"/>
    </w:pPr>
    <w:rPr>
      <w:rFonts w:eastAsia="宋体" w:asciiTheme="majorHAnsi" w:hAnsiTheme="majorHAnsi" w:cstheme="majorBidi"/>
      <w:b/>
      <w:bCs/>
      <w:sz w:val="36"/>
      <w:szCs w:val="32"/>
    </w:rPr>
  </w:style>
  <w:style w:type="paragraph" w:styleId="7">
    <w:name w:val="heading 3"/>
    <w:basedOn w:val="1"/>
    <w:next w:val="1"/>
    <w:qFormat/>
    <w:uiPriority w:val="0"/>
    <w:pPr>
      <w:keepNext/>
      <w:widowControl/>
      <w:numPr>
        <w:ilvl w:val="0"/>
        <w:numId w:val="2"/>
      </w:numPr>
      <w:spacing w:beforeLines="50" w:afterLines="50"/>
      <w:jc w:val="center"/>
      <w:outlineLvl w:val="2"/>
    </w:pPr>
    <w:rPr>
      <w:rFonts w:ascii="仿宋_GB2312" w:hAnsi="宋体"/>
      <w:b/>
      <w:kern w:val="0"/>
      <w:sz w:val="28"/>
      <w:szCs w:val="20"/>
    </w:rPr>
  </w:style>
  <w:style w:type="paragraph" w:styleId="8">
    <w:name w:val="heading 4"/>
    <w:basedOn w:val="1"/>
    <w:next w:val="1"/>
    <w:qFormat/>
    <w:uiPriority w:val="0"/>
    <w:pPr>
      <w:keepNext/>
      <w:keepLines/>
      <w:spacing w:before="280" w:after="290"/>
      <w:jc w:val="left"/>
      <w:outlineLvl w:val="3"/>
    </w:pPr>
    <w:rPr>
      <w:rFonts w:ascii="Arial" w:hAnsi="Arial" w:eastAsia="黑体"/>
      <w:b/>
      <w:bCs/>
      <w:sz w:val="24"/>
      <w:szCs w:val="2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9">
    <w:name w:val="Normal Indent"/>
    <w:basedOn w:val="1"/>
    <w:semiHidden/>
    <w:unhideWhenUsed/>
    <w:qFormat/>
    <w:uiPriority w:val="99"/>
    <w:pPr>
      <w:ind w:firstLine="420" w:firstLineChars="200"/>
    </w:pPr>
  </w:style>
  <w:style w:type="paragraph" w:styleId="10">
    <w:name w:val="Document Map"/>
    <w:basedOn w:val="1"/>
    <w:link w:val="39"/>
    <w:semiHidden/>
    <w:unhideWhenUsed/>
    <w:qFormat/>
    <w:uiPriority w:val="99"/>
    <w:rPr>
      <w:rFonts w:ascii="宋体" w:eastAsia="宋体"/>
      <w:sz w:val="18"/>
      <w:szCs w:val="18"/>
    </w:rPr>
  </w:style>
  <w:style w:type="paragraph" w:styleId="11">
    <w:name w:val="Plain Text"/>
    <w:basedOn w:val="1"/>
    <w:qFormat/>
    <w:uiPriority w:val="0"/>
    <w:rPr>
      <w:rFonts w:ascii="宋体" w:hAnsi="Courier New"/>
      <w:szCs w:val="20"/>
    </w:rPr>
  </w:style>
  <w:style w:type="paragraph" w:styleId="12">
    <w:name w:val="Body Text Indent 2"/>
    <w:basedOn w:val="1"/>
    <w:link w:val="32"/>
    <w:qFormat/>
    <w:uiPriority w:val="99"/>
    <w:pPr>
      <w:widowControl/>
      <w:spacing w:line="360" w:lineRule="auto"/>
      <w:ind w:firstLine="573"/>
    </w:pPr>
    <w:rPr>
      <w:sz w:val="24"/>
    </w:rPr>
  </w:style>
  <w:style w:type="paragraph" w:styleId="13">
    <w:name w:val="Balloon Text"/>
    <w:basedOn w:val="1"/>
    <w:link w:val="34"/>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Calibri" w:hAnsi="Calibri" w:eastAsia="宋体" w:cs="Times New Roman"/>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semiHidden/>
    <w:unhideWhenUsed/>
    <w:qFormat/>
    <w:uiPriority w:val="99"/>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qFormat/>
    <w:uiPriority w:val="99"/>
    <w:rPr>
      <w:rFonts w:cs="Times New Roman"/>
      <w:color w:val="0000FF"/>
      <w:u w:val="single"/>
    </w:rPr>
  </w:style>
  <w:style w:type="character" w:styleId="24">
    <w:name w:val="footnote reference"/>
    <w:semiHidden/>
    <w:qFormat/>
    <w:uiPriority w:val="0"/>
    <w:rPr>
      <w:vertAlign w:val="superscript"/>
    </w:rPr>
  </w:style>
  <w:style w:type="character" w:customStyle="1" w:styleId="25">
    <w:name w:val="页眉 Char"/>
    <w:basedOn w:val="21"/>
    <w:link w:val="15"/>
    <w:qFormat/>
    <w:uiPriority w:val="99"/>
    <w:rPr>
      <w:sz w:val="18"/>
      <w:szCs w:val="18"/>
    </w:rPr>
  </w:style>
  <w:style w:type="character" w:customStyle="1" w:styleId="26">
    <w:name w:val="页脚 Char"/>
    <w:basedOn w:val="21"/>
    <w:link w:val="14"/>
    <w:qFormat/>
    <w:uiPriority w:val="99"/>
    <w:rPr>
      <w:sz w:val="18"/>
      <w:szCs w:val="18"/>
    </w:rPr>
  </w:style>
  <w:style w:type="character" w:customStyle="1" w:styleId="27">
    <w:name w:val="标题 1 Char"/>
    <w:basedOn w:val="21"/>
    <w:link w:val="5"/>
    <w:qFormat/>
    <w:uiPriority w:val="99"/>
    <w:rPr>
      <w:rFonts w:ascii="Calibri" w:hAnsi="Calibri" w:eastAsia="宋体" w:cs="Times New Roman"/>
      <w:b/>
      <w:bCs/>
      <w:kern w:val="44"/>
      <w:sz w:val="44"/>
      <w:szCs w:val="44"/>
    </w:rPr>
  </w:style>
  <w:style w:type="paragraph" w:customStyle="1" w:styleId="28">
    <w:name w:val="TOC 标题1"/>
    <w:basedOn w:val="5"/>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正文缩进2格 Char"/>
    <w:link w:val="30"/>
    <w:qFormat/>
    <w:uiPriority w:val="0"/>
    <w:rPr>
      <w:rFonts w:ascii="仿宋_GB2312" w:hAnsi="宋体" w:eastAsia="仿宋_GB2312" w:cs="Times New Roman"/>
      <w:sz w:val="31"/>
      <w:szCs w:val="28"/>
    </w:rPr>
  </w:style>
  <w:style w:type="paragraph" w:customStyle="1" w:styleId="30">
    <w:name w:val="正文缩进2格"/>
    <w:basedOn w:val="1"/>
    <w:link w:val="29"/>
    <w:qFormat/>
    <w:uiPriority w:val="0"/>
    <w:pPr>
      <w:spacing w:line="600" w:lineRule="exact"/>
      <w:ind w:firstLine="639" w:firstLineChars="206"/>
    </w:pPr>
    <w:rPr>
      <w:rFonts w:ascii="仿宋_GB2312" w:hAnsi="宋体" w:eastAsia="仿宋_GB2312" w:cs="Times New Roman"/>
      <w:sz w:val="31"/>
      <w:szCs w:val="28"/>
    </w:rPr>
  </w:style>
  <w:style w:type="character" w:customStyle="1" w:styleId="31">
    <w:name w:val="正文文本缩进 2 Char"/>
    <w:qFormat/>
    <w:locked/>
    <w:uiPriority w:val="99"/>
    <w:rPr>
      <w:sz w:val="24"/>
    </w:rPr>
  </w:style>
  <w:style w:type="character" w:customStyle="1" w:styleId="32">
    <w:name w:val="正文文本缩进 2 Char1"/>
    <w:basedOn w:val="21"/>
    <w:link w:val="12"/>
    <w:semiHidden/>
    <w:qFormat/>
    <w:uiPriority w:val="99"/>
  </w:style>
  <w:style w:type="paragraph" w:styleId="33">
    <w:name w:val="List Paragraph"/>
    <w:basedOn w:val="1"/>
    <w:qFormat/>
    <w:uiPriority w:val="34"/>
    <w:pPr>
      <w:ind w:firstLine="420" w:firstLineChars="200"/>
    </w:pPr>
  </w:style>
  <w:style w:type="character" w:customStyle="1" w:styleId="34">
    <w:name w:val="批注框文本 Char"/>
    <w:basedOn w:val="21"/>
    <w:link w:val="13"/>
    <w:semiHidden/>
    <w:qFormat/>
    <w:uiPriority w:val="99"/>
    <w:rPr>
      <w:rFonts w:asciiTheme="minorHAnsi" w:hAnsiTheme="minorHAnsi" w:eastAsiaTheme="minorEastAsia" w:cstheme="minorBidi"/>
      <w:kern w:val="2"/>
      <w:sz w:val="18"/>
      <w:szCs w:val="18"/>
    </w:rPr>
  </w:style>
  <w:style w:type="paragraph" w:customStyle="1" w:styleId="35">
    <w:name w:val="*正文"/>
    <w:basedOn w:val="1"/>
    <w:qFormat/>
    <w:uiPriority w:val="0"/>
    <w:pPr>
      <w:ind w:firstLine="560" w:firstLineChars="200"/>
      <w:jc w:val="left"/>
    </w:pPr>
    <w:rPr>
      <w:rFonts w:ascii="仿宋_GB2312" w:hAnsi="Times New Roman" w:eastAsia="宋体"/>
      <w:kern w:val="0"/>
      <w:sz w:val="28"/>
      <w:szCs w:val="28"/>
    </w:rPr>
  </w:style>
  <w:style w:type="paragraph" w:customStyle="1" w:styleId="36">
    <w:name w:val="符号正文"/>
    <w:basedOn w:val="1"/>
    <w:qFormat/>
    <w:uiPriority w:val="0"/>
    <w:pPr>
      <w:numPr>
        <w:ilvl w:val="0"/>
        <w:numId w:val="3"/>
      </w:numPr>
      <w:spacing w:line="360" w:lineRule="auto"/>
      <w:ind w:firstLine="420"/>
    </w:pPr>
  </w:style>
  <w:style w:type="paragraph" w:customStyle="1" w:styleId="37">
    <w:name w:val="标题3"/>
    <w:next w:val="8"/>
    <w:qFormat/>
    <w:uiPriority w:val="0"/>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38">
    <w:name w:val="样式 标题 3 + 段前: 0.5 行 段后: 0.5 行"/>
    <w:basedOn w:val="7"/>
    <w:qFormat/>
    <w:uiPriority w:val="0"/>
    <w:pPr>
      <w:keepNext w:val="0"/>
      <w:spacing w:beforeLines="0" w:afterLines="0"/>
      <w:jc w:val="left"/>
    </w:pPr>
    <w:rPr>
      <w:rFonts w:cs="宋体"/>
      <w:bCs/>
      <w:sz w:val="21"/>
    </w:rPr>
  </w:style>
  <w:style w:type="character" w:customStyle="1" w:styleId="39">
    <w:name w:val="文档结构图 Char"/>
    <w:basedOn w:val="21"/>
    <w:link w:val="10"/>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3498</Words>
  <Characters>19940</Characters>
  <Lines>166</Lines>
  <Paragraphs>46</Paragraphs>
  <TotalTime>163</TotalTime>
  <ScaleCrop>false</ScaleCrop>
  <LinksUpToDate>false</LinksUpToDate>
  <CharactersWithSpaces>23392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2019-12-13T01:14:00Z</dcterms:created>
  <dc:creator>Administrator</dc:creator>
  <cp:lastModifiedBy>YLL</cp:lastModifiedBy>
  <cp:lastPrinted>2018-11-05T03:32:00Z</cp:lastPrinted>
  <dcterms:modified xsi:type="dcterms:W3CDTF">2019-12-19T05:50:19Z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