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1"/>
        <w:spacing w:before="0" w:after="0"/>
        <w:ind w:firstLine="0"/>
        <w:rPr>
          <w:rFonts w:ascii="宋体" w:hAnsi="宋体"/>
        </w:rPr>
      </w:pPr>
    </w:p>
    <w:p>
      <w:pPr>
        <w:pStyle w:val="81"/>
        <w:spacing w:line="460" w:lineRule="exact"/>
        <w:ind w:firstLine="0"/>
        <w:jc w:val="center"/>
        <w:rPr>
          <w:rFonts w:ascii="宋体" w:hAnsi="宋体"/>
          <w:b/>
          <w:bCs/>
          <w:sz w:val="84"/>
        </w:rPr>
      </w:pPr>
    </w:p>
    <w:p>
      <w:pPr>
        <w:pStyle w:val="81"/>
        <w:spacing w:before="0" w:after="0"/>
        <w:jc w:val="center"/>
        <w:rPr>
          <w:rFonts w:ascii="宋体" w:hAnsi="宋体"/>
          <w:b/>
          <w:bCs/>
          <w:sz w:val="52"/>
          <w:szCs w:val="52"/>
        </w:rPr>
      </w:pPr>
      <w:r>
        <w:rPr>
          <w:rFonts w:hint="eastAsia" w:ascii="宋体" w:hAnsi="宋体"/>
          <w:b/>
          <w:bCs/>
          <w:sz w:val="52"/>
          <w:szCs w:val="52"/>
        </w:rPr>
        <w:t>南通农副产品物流有限公司</w:t>
      </w:r>
    </w:p>
    <w:p>
      <w:pPr>
        <w:pStyle w:val="81"/>
        <w:spacing w:before="0" w:after="0"/>
        <w:ind w:firstLine="0"/>
        <w:jc w:val="center"/>
        <w:rPr>
          <w:rFonts w:ascii="宋体" w:hAnsi="宋体"/>
          <w:b/>
          <w:bCs/>
          <w:sz w:val="72"/>
          <w:szCs w:val="72"/>
        </w:rPr>
      </w:pPr>
      <w:r>
        <w:rPr>
          <w:rFonts w:hint="eastAsia" w:ascii="宋体" w:hAnsi="宋体"/>
          <w:b/>
          <w:bCs/>
          <w:sz w:val="52"/>
          <w:szCs w:val="52"/>
        </w:rPr>
        <w:t>冷链装卸、进出库作业外包项目（二次）</w:t>
      </w:r>
    </w:p>
    <w:p>
      <w:pPr>
        <w:pStyle w:val="81"/>
        <w:spacing w:before="100" w:beforeAutospacing="1" w:after="100" w:afterAutospacing="1" w:line="240" w:lineRule="auto"/>
        <w:ind w:firstLine="0"/>
        <w:jc w:val="center"/>
        <w:rPr>
          <w:rFonts w:ascii="宋体" w:hAnsi="宋体"/>
          <w:b/>
          <w:bCs/>
          <w:sz w:val="72"/>
          <w:szCs w:val="72"/>
        </w:rPr>
      </w:pPr>
      <w:r>
        <w:rPr>
          <w:rFonts w:hint="eastAsia" w:ascii="宋体" w:hAnsi="宋体"/>
          <w:b/>
          <w:bCs/>
          <w:sz w:val="72"/>
          <w:szCs w:val="72"/>
        </w:rPr>
        <w:t>招　标　文　件</w:t>
      </w:r>
    </w:p>
    <w:p>
      <w:pPr>
        <w:pStyle w:val="81"/>
        <w:spacing w:line="460" w:lineRule="exact"/>
        <w:ind w:firstLine="0"/>
        <w:jc w:val="center"/>
        <w:rPr>
          <w:rFonts w:ascii="宋体" w:hAnsi="宋体"/>
          <w:b/>
          <w:bCs/>
          <w:sz w:val="52"/>
          <w:szCs w:val="52"/>
        </w:rPr>
      </w:pPr>
    </w:p>
    <w:p>
      <w:pPr>
        <w:pStyle w:val="81"/>
        <w:spacing w:line="460" w:lineRule="exact"/>
        <w:ind w:firstLine="0"/>
        <w:jc w:val="center"/>
        <w:rPr>
          <w:rFonts w:ascii="宋体" w:hAnsi="宋体"/>
          <w:b/>
          <w:bCs/>
          <w:sz w:val="52"/>
          <w:szCs w:val="52"/>
        </w:rPr>
      </w:pPr>
    </w:p>
    <w:p>
      <w:pPr>
        <w:pStyle w:val="81"/>
        <w:spacing w:line="460" w:lineRule="exact"/>
        <w:ind w:firstLine="0"/>
        <w:jc w:val="center"/>
        <w:rPr>
          <w:rFonts w:ascii="宋体" w:hAnsi="宋体"/>
          <w:b/>
          <w:bCs/>
          <w:sz w:val="52"/>
          <w:szCs w:val="52"/>
        </w:rPr>
      </w:pPr>
    </w:p>
    <w:p>
      <w:pPr>
        <w:pStyle w:val="81"/>
        <w:spacing w:before="0" w:after="0"/>
        <w:rPr>
          <w:rFonts w:ascii="宋体" w:hAnsi="宋体"/>
        </w:rPr>
      </w:pPr>
    </w:p>
    <w:p>
      <w:pPr>
        <w:pStyle w:val="81"/>
        <w:spacing w:before="0" w:after="0"/>
        <w:rPr>
          <w:rFonts w:ascii="宋体" w:hAnsi="宋体"/>
        </w:rPr>
      </w:pPr>
    </w:p>
    <w:p>
      <w:pPr>
        <w:pStyle w:val="81"/>
        <w:spacing w:before="0" w:after="0"/>
        <w:rPr>
          <w:rFonts w:ascii="宋体" w:hAnsi="宋体"/>
        </w:rPr>
      </w:pPr>
    </w:p>
    <w:p>
      <w:pPr>
        <w:pStyle w:val="81"/>
        <w:spacing w:before="0" w:after="0"/>
        <w:rPr>
          <w:rFonts w:ascii="宋体" w:hAnsi="宋体"/>
        </w:rPr>
      </w:pPr>
    </w:p>
    <w:p>
      <w:pPr>
        <w:pStyle w:val="81"/>
        <w:spacing w:before="0" w:after="0"/>
        <w:rPr>
          <w:rFonts w:ascii="宋体" w:hAnsi="宋体"/>
        </w:rPr>
      </w:pPr>
    </w:p>
    <w:p>
      <w:pPr>
        <w:pStyle w:val="81"/>
        <w:ind w:firstLine="600" w:firstLineChars="250"/>
        <w:rPr>
          <w:rFonts w:ascii="宋体" w:hAnsi="宋体"/>
        </w:rPr>
      </w:pPr>
    </w:p>
    <w:p>
      <w:pPr>
        <w:pStyle w:val="81"/>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采   购   人：</w:t>
      </w:r>
      <w:r>
        <w:rPr>
          <w:rFonts w:hint="eastAsia" w:ascii="宋体" w:hAnsi="宋体"/>
          <w:b/>
          <w:bCs/>
          <w:sz w:val="36"/>
          <w:szCs w:val="36"/>
          <w:u w:val="single"/>
        </w:rPr>
        <w:t>南通农副产品物流有限公司</w:t>
      </w:r>
    </w:p>
    <w:p>
      <w:pPr>
        <w:pStyle w:val="81"/>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招标代理机构：</w:t>
      </w:r>
      <w:r>
        <w:rPr>
          <w:rFonts w:hint="eastAsia" w:ascii="宋体" w:hAnsi="宋体"/>
          <w:b/>
          <w:bCs/>
          <w:sz w:val="36"/>
          <w:szCs w:val="36"/>
          <w:u w:val="single"/>
        </w:rPr>
        <w:t>南通城建工程项目管理有限公司</w:t>
      </w:r>
    </w:p>
    <w:p>
      <w:pPr>
        <w:spacing w:line="360" w:lineRule="auto"/>
        <w:ind w:firstLine="426" w:firstLineChars="118"/>
        <w:contextualSpacing/>
        <w:outlineLvl w:val="0"/>
        <w:rPr>
          <w:rFonts w:ascii="宋体" w:hAnsi="宋体"/>
          <w:b/>
          <w:bCs/>
          <w:kern w:val="0"/>
          <w:sz w:val="36"/>
          <w:szCs w:val="36"/>
          <w:highlight w:val="none"/>
          <w:u w:val="single"/>
        </w:rPr>
      </w:pPr>
      <w:bookmarkStart w:id="0" w:name="_Toc120614210"/>
      <w:bookmarkStart w:id="1" w:name="_Toc16938516"/>
      <w:bookmarkStart w:id="2" w:name="_Toc513029200"/>
      <w:bookmarkStart w:id="3" w:name="_Toc479757206"/>
      <w:bookmarkStart w:id="4" w:name="_Toc20823272"/>
      <w:bookmarkStart w:id="5" w:name="_Toc523127445"/>
      <w:r>
        <w:rPr>
          <w:rFonts w:hint="eastAsia" w:ascii="宋体" w:hAnsi="宋体"/>
          <w:b/>
          <w:bCs/>
          <w:kern w:val="0"/>
          <w:sz w:val="36"/>
          <w:szCs w:val="36"/>
        </w:rPr>
        <w:t xml:space="preserve">  日        期：</w:t>
      </w:r>
      <w:r>
        <w:rPr>
          <w:rFonts w:hint="eastAsia" w:ascii="宋体" w:hAnsi="宋体"/>
          <w:b/>
          <w:bCs/>
          <w:kern w:val="0"/>
          <w:sz w:val="36"/>
          <w:szCs w:val="36"/>
          <w:highlight w:val="none"/>
          <w:u w:val="single"/>
        </w:rPr>
        <w:t xml:space="preserve"> 2020 年 5月</w:t>
      </w:r>
      <w:r>
        <w:rPr>
          <w:rFonts w:hint="eastAsia" w:ascii="宋体" w:hAnsi="宋体"/>
          <w:b/>
          <w:bCs/>
          <w:kern w:val="0"/>
          <w:sz w:val="36"/>
          <w:szCs w:val="36"/>
          <w:highlight w:val="none"/>
          <w:u w:val="single"/>
          <w:lang w:val="en-US" w:eastAsia="zh-CN"/>
        </w:rPr>
        <w:t>28</w:t>
      </w:r>
      <w:r>
        <w:rPr>
          <w:rFonts w:hint="eastAsia" w:ascii="宋体" w:hAnsi="宋体"/>
          <w:b/>
          <w:bCs/>
          <w:kern w:val="0"/>
          <w:sz w:val="36"/>
          <w:szCs w:val="36"/>
          <w:highlight w:val="none"/>
          <w:u w:val="single"/>
        </w:rPr>
        <w:t>日</w:t>
      </w:r>
    </w:p>
    <w:p>
      <w:pPr>
        <w:spacing w:line="480" w:lineRule="auto"/>
        <w:ind w:firstLine="480"/>
        <w:outlineLvl w:val="0"/>
        <w:rPr>
          <w:rFonts w:ascii="宋体" w:hAnsi="宋体"/>
          <w:sz w:val="36"/>
        </w:rPr>
      </w:pPr>
    </w:p>
    <w:p>
      <w:pPr>
        <w:spacing w:line="480" w:lineRule="auto"/>
        <w:ind w:firstLine="480"/>
        <w:outlineLvl w:val="0"/>
        <w:rPr>
          <w:rFonts w:ascii="宋体" w:hAnsi="宋体"/>
          <w:sz w:val="36"/>
        </w:rPr>
      </w:pPr>
    </w:p>
    <w:p>
      <w:pPr>
        <w:pStyle w:val="101"/>
        <w:jc w:val="center"/>
        <w:rPr>
          <w:rFonts w:ascii="宋体" w:hAnsi="宋体"/>
          <w:color w:val="auto"/>
          <w:sz w:val="48"/>
          <w:szCs w:val="48"/>
          <w:lang w:val="zh-CN"/>
        </w:rPr>
      </w:pPr>
      <w:r>
        <w:rPr>
          <w:rFonts w:ascii="宋体" w:hAnsi="宋体"/>
          <w:color w:val="auto"/>
          <w:sz w:val="48"/>
          <w:szCs w:val="48"/>
          <w:lang w:val="zh-CN"/>
        </w:rPr>
        <w:t>总目录</w:t>
      </w:r>
    </w:p>
    <w:p>
      <w:pPr>
        <w:ind w:firstLine="480"/>
        <w:rPr>
          <w:rFonts w:ascii="宋体" w:hAnsi="宋体"/>
          <w:lang w:val="zh-CN"/>
        </w:rPr>
      </w:pPr>
    </w:p>
    <w:p>
      <w:pPr>
        <w:ind w:firstLine="480"/>
        <w:rPr>
          <w:rFonts w:ascii="宋体" w:hAnsi="宋体"/>
          <w:lang w:val="zh-CN"/>
        </w:rPr>
      </w:pPr>
    </w:p>
    <w:p>
      <w:pPr>
        <w:ind w:firstLine="480"/>
        <w:rPr>
          <w:rFonts w:ascii="宋体" w:hAnsi="宋体"/>
          <w:lang w:val="zh-CN"/>
        </w:rPr>
      </w:pPr>
    </w:p>
    <w:p>
      <w:pPr>
        <w:pStyle w:val="29"/>
        <w:spacing w:before="0" w:after="0" w:line="360" w:lineRule="auto"/>
        <w:ind w:firstLine="720"/>
        <w:rPr>
          <w:caps w:val="0"/>
          <w:sz w:val="28"/>
          <w:szCs w:val="22"/>
        </w:rPr>
      </w:pPr>
      <w:r>
        <w:rPr>
          <w:sz w:val="36"/>
        </w:rPr>
        <w:fldChar w:fldCharType="begin"/>
      </w:r>
      <w:r>
        <w:rPr>
          <w:sz w:val="36"/>
        </w:rPr>
        <w:instrText xml:space="preserve"> TOC \o "1-3" \h \z \u </w:instrText>
      </w:r>
      <w:r>
        <w:rPr>
          <w:sz w:val="36"/>
        </w:rPr>
        <w:fldChar w:fldCharType="separate"/>
      </w:r>
      <w:r>
        <w:fldChar w:fldCharType="begin"/>
      </w:r>
      <w:r>
        <w:instrText xml:space="preserve"> HYPERLINK \l "_Toc479962289" </w:instrText>
      </w:r>
      <w:r>
        <w:fldChar w:fldCharType="separate"/>
      </w:r>
      <w:r>
        <w:rPr>
          <w:rStyle w:val="51"/>
          <w:rFonts w:hint="eastAsia"/>
          <w:color w:val="auto"/>
          <w:sz w:val="36"/>
        </w:rPr>
        <w:t>第一章招标公告</w:t>
      </w:r>
      <w:r>
        <w:rPr>
          <w:sz w:val="36"/>
        </w:rPr>
        <w:tab/>
      </w:r>
      <w:r>
        <w:rPr>
          <w:sz w:val="36"/>
        </w:rPr>
        <w:fldChar w:fldCharType="begin"/>
      </w:r>
      <w:r>
        <w:rPr>
          <w:sz w:val="36"/>
        </w:rPr>
        <w:instrText xml:space="preserve"> PAGEREF _Toc479962289 \h </w:instrText>
      </w:r>
      <w:r>
        <w:rPr>
          <w:sz w:val="36"/>
        </w:rPr>
        <w:fldChar w:fldCharType="separate"/>
      </w:r>
      <w:r>
        <w:rPr>
          <w:sz w:val="36"/>
        </w:rPr>
        <w:t>3</w:t>
      </w:r>
      <w:r>
        <w:rPr>
          <w:sz w:val="36"/>
        </w:rPr>
        <w:fldChar w:fldCharType="end"/>
      </w:r>
      <w:r>
        <w:rPr>
          <w:sz w:val="36"/>
        </w:rPr>
        <w:fldChar w:fldCharType="end"/>
      </w:r>
    </w:p>
    <w:p>
      <w:pPr>
        <w:pStyle w:val="29"/>
        <w:spacing w:before="0" w:after="0" w:line="360" w:lineRule="auto"/>
        <w:ind w:firstLine="720"/>
        <w:rPr>
          <w:caps w:val="0"/>
          <w:sz w:val="28"/>
          <w:szCs w:val="22"/>
        </w:rPr>
      </w:pPr>
      <w:r>
        <w:fldChar w:fldCharType="begin"/>
      </w:r>
      <w:r>
        <w:instrText xml:space="preserve"> HYPERLINK \l "_Toc479962290" </w:instrText>
      </w:r>
      <w:r>
        <w:fldChar w:fldCharType="separate"/>
      </w:r>
      <w:r>
        <w:rPr>
          <w:rStyle w:val="51"/>
          <w:rFonts w:hint="eastAsia"/>
          <w:color w:val="auto"/>
          <w:sz w:val="36"/>
        </w:rPr>
        <w:t>第二章投标人须知</w:t>
      </w:r>
      <w:r>
        <w:rPr>
          <w:sz w:val="36"/>
        </w:rPr>
        <w:tab/>
      </w:r>
      <w:r>
        <w:rPr>
          <w:rFonts w:hint="eastAsia"/>
          <w:sz w:val="36"/>
          <w:lang w:val="en-US" w:eastAsia="zh-CN"/>
        </w:rPr>
        <w:t>7</w:t>
      </w:r>
      <w:r>
        <w:rPr>
          <w:sz w:val="36"/>
        </w:rPr>
        <w:fldChar w:fldCharType="end"/>
      </w:r>
    </w:p>
    <w:p>
      <w:pPr>
        <w:pStyle w:val="29"/>
        <w:spacing w:before="0" w:after="0" w:line="360" w:lineRule="auto"/>
        <w:ind w:firstLine="720"/>
        <w:rPr>
          <w:caps w:val="0"/>
          <w:sz w:val="28"/>
          <w:szCs w:val="22"/>
        </w:rPr>
      </w:pPr>
      <w:r>
        <w:fldChar w:fldCharType="begin"/>
      </w:r>
      <w:r>
        <w:instrText xml:space="preserve"> HYPERLINK \l "_Toc479962291" </w:instrText>
      </w:r>
      <w:r>
        <w:fldChar w:fldCharType="separate"/>
      </w:r>
      <w:r>
        <w:rPr>
          <w:rStyle w:val="51"/>
          <w:rFonts w:hint="eastAsia"/>
          <w:bCs/>
          <w:color w:val="auto"/>
          <w:sz w:val="36"/>
        </w:rPr>
        <w:t>第三章合同条款及格式</w:t>
      </w:r>
      <w:r>
        <w:rPr>
          <w:sz w:val="36"/>
        </w:rPr>
        <w:tab/>
      </w:r>
      <w:r>
        <w:rPr>
          <w:sz w:val="36"/>
        </w:rPr>
        <w:fldChar w:fldCharType="begin"/>
      </w:r>
      <w:r>
        <w:rPr>
          <w:sz w:val="36"/>
        </w:rPr>
        <w:instrText xml:space="preserve"> PAGEREF _Toc479962291 \h </w:instrText>
      </w:r>
      <w:r>
        <w:rPr>
          <w:sz w:val="36"/>
        </w:rPr>
        <w:fldChar w:fldCharType="separate"/>
      </w:r>
      <w:r>
        <w:rPr>
          <w:sz w:val="36"/>
        </w:rPr>
        <w:t>1</w:t>
      </w:r>
      <w:r>
        <w:rPr>
          <w:rFonts w:hint="eastAsia"/>
          <w:sz w:val="36"/>
          <w:lang w:val="en-US" w:eastAsia="zh-CN"/>
        </w:rPr>
        <w:t>6</w:t>
      </w:r>
      <w:r>
        <w:rPr>
          <w:sz w:val="36"/>
        </w:rPr>
        <w:fldChar w:fldCharType="end"/>
      </w:r>
      <w:r>
        <w:rPr>
          <w:sz w:val="36"/>
        </w:rPr>
        <w:fldChar w:fldCharType="end"/>
      </w:r>
    </w:p>
    <w:p>
      <w:pPr>
        <w:pStyle w:val="29"/>
        <w:spacing w:before="0" w:after="0" w:line="360" w:lineRule="auto"/>
        <w:ind w:firstLine="720"/>
        <w:rPr>
          <w:caps w:val="0"/>
          <w:sz w:val="28"/>
          <w:szCs w:val="22"/>
        </w:rPr>
      </w:pPr>
      <w:r>
        <w:fldChar w:fldCharType="begin"/>
      </w:r>
      <w:r>
        <w:instrText xml:space="preserve"> HYPERLINK \l "_Toc479962292" </w:instrText>
      </w:r>
      <w:r>
        <w:fldChar w:fldCharType="separate"/>
      </w:r>
      <w:r>
        <w:rPr>
          <w:rStyle w:val="51"/>
          <w:rFonts w:hint="eastAsia"/>
          <w:bCs/>
          <w:color w:val="auto"/>
          <w:sz w:val="36"/>
        </w:rPr>
        <w:t>第四章项目需求</w:t>
      </w:r>
      <w:r>
        <w:rPr>
          <w:sz w:val="36"/>
        </w:rPr>
        <w:tab/>
      </w:r>
      <w:r>
        <w:rPr>
          <w:sz w:val="36"/>
        </w:rPr>
        <w:fldChar w:fldCharType="begin"/>
      </w:r>
      <w:r>
        <w:rPr>
          <w:sz w:val="36"/>
        </w:rPr>
        <w:instrText xml:space="preserve"> PAGEREF _Toc479962292 \h </w:instrText>
      </w:r>
      <w:r>
        <w:rPr>
          <w:sz w:val="36"/>
        </w:rPr>
        <w:fldChar w:fldCharType="separate"/>
      </w:r>
      <w:r>
        <w:rPr>
          <w:sz w:val="36"/>
        </w:rPr>
        <w:t>1</w:t>
      </w:r>
      <w:r>
        <w:rPr>
          <w:rFonts w:hint="eastAsia"/>
          <w:sz w:val="36"/>
          <w:lang w:val="en-US" w:eastAsia="zh-CN"/>
        </w:rPr>
        <w:t>9</w:t>
      </w:r>
      <w:r>
        <w:rPr>
          <w:sz w:val="36"/>
        </w:rPr>
        <w:fldChar w:fldCharType="end"/>
      </w:r>
      <w:r>
        <w:rPr>
          <w:sz w:val="36"/>
        </w:rPr>
        <w:fldChar w:fldCharType="end"/>
      </w:r>
    </w:p>
    <w:p>
      <w:pPr>
        <w:pStyle w:val="29"/>
        <w:spacing w:before="0" w:after="0" w:line="360" w:lineRule="auto"/>
        <w:ind w:firstLine="720"/>
        <w:rPr>
          <w:rStyle w:val="51"/>
          <w:rFonts w:hint="eastAsia" w:eastAsia="宋体"/>
          <w:color w:val="auto"/>
          <w:sz w:val="36"/>
          <w:lang w:val="en-US" w:eastAsia="zh-CN"/>
        </w:rPr>
      </w:pPr>
      <w:r>
        <w:fldChar w:fldCharType="begin"/>
      </w:r>
      <w:r>
        <w:instrText xml:space="preserve"> HYPERLINK \l "_Toc479962293" </w:instrText>
      </w:r>
      <w:r>
        <w:fldChar w:fldCharType="separate"/>
      </w:r>
      <w:r>
        <w:rPr>
          <w:rStyle w:val="51"/>
          <w:rFonts w:hint="eastAsia"/>
          <w:bCs/>
          <w:color w:val="auto"/>
          <w:sz w:val="36"/>
        </w:rPr>
        <w:t>第五章资格审查</w:t>
      </w:r>
      <w:r>
        <w:rPr>
          <w:sz w:val="36"/>
        </w:rPr>
        <w:tab/>
      </w:r>
      <w:r>
        <w:rPr>
          <w:rFonts w:hint="eastAsia"/>
          <w:sz w:val="36"/>
          <w:lang w:val="en-US" w:eastAsia="zh-CN"/>
        </w:rPr>
        <w:t>2</w:t>
      </w:r>
      <w:r>
        <w:rPr>
          <w:sz w:val="36"/>
        </w:rPr>
        <w:fldChar w:fldCharType="end"/>
      </w:r>
      <w:r>
        <w:rPr>
          <w:rFonts w:hint="eastAsia"/>
          <w:sz w:val="36"/>
          <w:lang w:val="en-US" w:eastAsia="zh-CN"/>
        </w:rPr>
        <w:t>0</w:t>
      </w:r>
    </w:p>
    <w:p>
      <w:pPr>
        <w:pStyle w:val="29"/>
        <w:spacing w:before="0" w:after="0" w:line="360" w:lineRule="auto"/>
        <w:ind w:firstLine="720"/>
        <w:rPr>
          <w:rFonts w:hint="eastAsia" w:eastAsia="宋体"/>
          <w:caps w:val="0"/>
          <w:sz w:val="28"/>
          <w:szCs w:val="22"/>
          <w:lang w:eastAsia="zh-CN"/>
        </w:rPr>
      </w:pPr>
      <w:r>
        <w:fldChar w:fldCharType="begin"/>
      </w:r>
      <w:r>
        <w:instrText xml:space="preserve"> HYPERLINK \l "_Toc479962294" </w:instrText>
      </w:r>
      <w:r>
        <w:fldChar w:fldCharType="separate"/>
      </w:r>
      <w:r>
        <w:rPr>
          <w:rStyle w:val="51"/>
          <w:rFonts w:hint="eastAsia"/>
          <w:bCs/>
          <w:color w:val="auto"/>
          <w:sz w:val="36"/>
        </w:rPr>
        <w:t>第六章评标办法</w:t>
      </w:r>
      <w:r>
        <w:rPr>
          <w:sz w:val="36"/>
        </w:rPr>
        <w:tab/>
      </w:r>
      <w:r>
        <w:rPr>
          <w:rFonts w:hint="eastAsia"/>
          <w:sz w:val="36"/>
        </w:rPr>
        <w:t>2</w:t>
      </w:r>
      <w:r>
        <w:rPr>
          <w:rFonts w:hint="eastAsia"/>
          <w:sz w:val="36"/>
        </w:rPr>
        <w:fldChar w:fldCharType="end"/>
      </w:r>
      <w:r>
        <w:rPr>
          <w:rFonts w:hint="eastAsia"/>
          <w:sz w:val="36"/>
          <w:lang w:val="en-US" w:eastAsia="zh-CN"/>
        </w:rPr>
        <w:t>1</w:t>
      </w:r>
    </w:p>
    <w:p>
      <w:pPr>
        <w:pStyle w:val="29"/>
        <w:spacing w:before="0" w:after="0" w:line="360" w:lineRule="auto"/>
        <w:ind w:firstLine="720"/>
        <w:rPr>
          <w:caps w:val="0"/>
          <w:sz w:val="28"/>
          <w:szCs w:val="22"/>
        </w:rPr>
      </w:pPr>
      <w:r>
        <w:fldChar w:fldCharType="begin"/>
      </w:r>
      <w:r>
        <w:instrText xml:space="preserve"> HYPERLINK \l "_Toc479962294" </w:instrText>
      </w:r>
      <w:r>
        <w:fldChar w:fldCharType="separate"/>
      </w:r>
      <w:r>
        <w:rPr>
          <w:rStyle w:val="51"/>
          <w:rFonts w:hint="eastAsia"/>
          <w:bCs/>
          <w:color w:val="auto"/>
          <w:sz w:val="36"/>
        </w:rPr>
        <w:t>第七章投标文件格式</w:t>
      </w:r>
      <w:r>
        <w:rPr>
          <w:sz w:val="36"/>
        </w:rPr>
        <w:tab/>
      </w:r>
      <w:r>
        <w:rPr>
          <w:sz w:val="36"/>
        </w:rPr>
        <w:fldChar w:fldCharType="begin"/>
      </w:r>
      <w:r>
        <w:rPr>
          <w:sz w:val="36"/>
        </w:rPr>
        <w:instrText xml:space="preserve"> PAGEREF _Toc479962294 \h </w:instrText>
      </w:r>
      <w:r>
        <w:rPr>
          <w:sz w:val="36"/>
        </w:rPr>
        <w:fldChar w:fldCharType="separate"/>
      </w:r>
      <w:r>
        <w:rPr>
          <w:sz w:val="36"/>
        </w:rPr>
        <w:t>2</w:t>
      </w:r>
      <w:r>
        <w:rPr>
          <w:rFonts w:hint="eastAsia"/>
          <w:sz w:val="36"/>
          <w:lang w:val="en-US" w:eastAsia="zh-CN"/>
        </w:rPr>
        <w:t>3</w:t>
      </w:r>
      <w:r>
        <w:rPr>
          <w:sz w:val="36"/>
        </w:rPr>
        <w:fldChar w:fldCharType="end"/>
      </w:r>
      <w:r>
        <w:rPr>
          <w:sz w:val="36"/>
        </w:rPr>
        <w:fldChar w:fldCharType="end"/>
      </w:r>
    </w:p>
    <w:p>
      <w:pPr>
        <w:spacing w:line="360" w:lineRule="auto"/>
        <w:jc w:val="center"/>
        <w:rPr>
          <w:rFonts w:ascii="宋体" w:hAnsi="宋体"/>
          <w:sz w:val="44"/>
          <w:szCs w:val="44"/>
        </w:rPr>
      </w:pPr>
      <w:r>
        <w:rPr>
          <w:rFonts w:ascii="宋体" w:hAnsi="宋体"/>
          <w:b/>
          <w:bCs/>
          <w:sz w:val="28"/>
          <w:lang w:val="zh-CN"/>
        </w:rPr>
        <w:fldChar w:fldCharType="end"/>
      </w:r>
      <w:bookmarkStart w:id="6" w:name="_Toc479962289"/>
      <w:r>
        <w:rPr>
          <w:rFonts w:ascii="宋体" w:hAnsi="宋体"/>
          <w:sz w:val="44"/>
          <w:szCs w:val="44"/>
        </w:rPr>
        <w:br w:type="page"/>
      </w:r>
      <w:r>
        <w:rPr>
          <w:rFonts w:hint="eastAsia" w:ascii="宋体" w:hAnsi="宋体"/>
          <w:sz w:val="44"/>
          <w:szCs w:val="44"/>
        </w:rPr>
        <w:t xml:space="preserve">  第一章  </w:t>
      </w:r>
      <w:bookmarkStart w:id="7" w:name="OLE_LINK1"/>
      <w:r>
        <w:rPr>
          <w:rFonts w:hint="eastAsia" w:ascii="宋体" w:hAnsi="宋体"/>
          <w:sz w:val="44"/>
          <w:szCs w:val="44"/>
        </w:rPr>
        <w:t>招标公告</w:t>
      </w:r>
      <w:bookmarkEnd w:id="6"/>
    </w:p>
    <w:p>
      <w:pPr>
        <w:spacing w:line="360" w:lineRule="auto"/>
        <w:ind w:firstLine="482" w:firstLineChars="200"/>
        <w:contextualSpacing/>
        <w:rPr>
          <w:rFonts w:ascii="宋体" w:hAnsi="宋体"/>
          <w:sz w:val="24"/>
          <w:szCs w:val="24"/>
        </w:rPr>
      </w:pPr>
      <w:r>
        <w:rPr>
          <w:rFonts w:hint="eastAsia" w:ascii="宋体" w:hAnsi="宋体"/>
          <w:b/>
          <w:sz w:val="24"/>
          <w:szCs w:val="24"/>
          <w:u w:val="single"/>
        </w:rPr>
        <w:t>南通城建工程项目管理有限公司</w:t>
      </w:r>
      <w:r>
        <w:rPr>
          <w:rFonts w:hint="eastAsia" w:ascii="宋体" w:hAnsi="宋体"/>
          <w:sz w:val="24"/>
          <w:szCs w:val="24"/>
        </w:rPr>
        <w:t>（以下简称“代理机构”）受</w:t>
      </w:r>
      <w:r>
        <w:rPr>
          <w:rFonts w:hint="eastAsia" w:ascii="宋体" w:hAnsi="宋体"/>
          <w:b/>
          <w:bCs/>
          <w:sz w:val="24"/>
          <w:u w:val="single"/>
        </w:rPr>
        <w:t>南通农副产品物流有限公司</w:t>
      </w:r>
      <w:r>
        <w:rPr>
          <w:rFonts w:hint="eastAsia" w:ascii="宋体" w:hAnsi="宋体"/>
          <w:sz w:val="24"/>
          <w:szCs w:val="24"/>
        </w:rPr>
        <w:t>委托，对其所需的</w:t>
      </w:r>
      <w:r>
        <w:rPr>
          <w:rFonts w:hint="eastAsia" w:ascii="宋体" w:hAnsi="宋体"/>
          <w:b/>
          <w:sz w:val="24"/>
          <w:szCs w:val="24"/>
          <w:u w:val="single"/>
        </w:rPr>
        <w:t>南通农副产品物流有限公司</w:t>
      </w:r>
      <w:r>
        <w:rPr>
          <w:rFonts w:hint="eastAsia" w:ascii="宋体" w:hAnsi="宋体"/>
          <w:b/>
          <w:bCs/>
          <w:sz w:val="24"/>
          <w:u w:val="single"/>
        </w:rPr>
        <w:t>冷链装卸、进出库作业外包项目（二次）</w:t>
      </w:r>
      <w:r>
        <w:rPr>
          <w:rFonts w:hint="eastAsia" w:ascii="宋体" w:hAnsi="宋体"/>
          <w:sz w:val="24"/>
          <w:szCs w:val="24"/>
        </w:rPr>
        <w:t>进行招标，现欢迎符合相关条件的合格供应商投标。</w:t>
      </w:r>
    </w:p>
    <w:p>
      <w:pPr>
        <w:spacing w:line="360" w:lineRule="auto"/>
        <w:contextualSpacing/>
        <w:rPr>
          <w:rFonts w:ascii="宋体" w:hAnsi="宋体"/>
          <w:b/>
          <w:bCs/>
          <w:sz w:val="24"/>
          <w:szCs w:val="24"/>
        </w:rPr>
      </w:pPr>
      <w:r>
        <w:rPr>
          <w:rFonts w:hint="eastAsia" w:ascii="宋体" w:hAnsi="宋体"/>
          <w:b/>
          <w:bCs/>
          <w:sz w:val="24"/>
          <w:szCs w:val="24"/>
        </w:rPr>
        <w:t>一、招标项目名称：</w:t>
      </w:r>
    </w:p>
    <w:p>
      <w:pPr>
        <w:snapToGrid w:val="0"/>
        <w:spacing w:line="360" w:lineRule="auto"/>
        <w:ind w:firstLine="480" w:firstLineChars="200"/>
        <w:rPr>
          <w:rFonts w:ascii="宋体" w:hAnsi="宋体"/>
          <w:b/>
          <w:sz w:val="24"/>
          <w:szCs w:val="24"/>
        </w:rPr>
      </w:pPr>
      <w:r>
        <w:rPr>
          <w:rFonts w:hint="eastAsia" w:ascii="宋体" w:hAnsi="宋体"/>
          <w:sz w:val="24"/>
          <w:szCs w:val="24"/>
        </w:rPr>
        <w:t>项目名称：</w:t>
      </w:r>
      <w:r>
        <w:rPr>
          <w:rFonts w:hint="eastAsia" w:ascii="宋体" w:hAnsi="宋体"/>
          <w:b/>
          <w:sz w:val="24"/>
          <w:szCs w:val="24"/>
        </w:rPr>
        <w:t>南通农副产品物流有限公司</w:t>
      </w:r>
      <w:r>
        <w:rPr>
          <w:rFonts w:hint="eastAsia" w:ascii="宋体" w:hAnsi="宋体"/>
          <w:b/>
          <w:bCs/>
          <w:sz w:val="24"/>
        </w:rPr>
        <w:t>冷链装卸、进出库作业外包项目（二次）</w:t>
      </w:r>
    </w:p>
    <w:p>
      <w:pPr>
        <w:snapToGrid w:val="0"/>
        <w:spacing w:line="360" w:lineRule="auto"/>
        <w:rPr>
          <w:rFonts w:ascii="宋体" w:hAnsi="宋体"/>
          <w:b/>
          <w:bCs/>
          <w:sz w:val="24"/>
          <w:szCs w:val="24"/>
        </w:rPr>
      </w:pPr>
      <w:r>
        <w:rPr>
          <w:rFonts w:hint="eastAsia" w:ascii="宋体" w:hAnsi="宋体"/>
          <w:b/>
          <w:bCs/>
          <w:sz w:val="24"/>
          <w:szCs w:val="24"/>
        </w:rPr>
        <w:t>二、采购预算及限价：</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1、本项目实际支付的劳务服务费=劳务服务费-超出基本劳务服务费以外的部分*管理服务费费率。如劳务服务费月收入≤基本劳务服务费时，发包方按基本劳务服务费支付，并不再收取管理服务费。</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注：（1）劳务服务费=每月实际劳务服务工作量*单价（计价基础详见项目需求）。</w:t>
      </w:r>
    </w:p>
    <w:p>
      <w:pPr>
        <w:autoSpaceDE w:val="0"/>
        <w:autoSpaceDN w:val="0"/>
        <w:adjustRightInd w:val="0"/>
        <w:spacing w:line="360" w:lineRule="auto"/>
        <w:ind w:firstLine="360" w:firstLineChars="150"/>
        <w:jc w:val="left"/>
        <w:rPr>
          <w:rFonts w:ascii="宋体" w:hAnsi="宋体"/>
          <w:sz w:val="24"/>
          <w:szCs w:val="24"/>
        </w:rPr>
      </w:pPr>
      <w:r>
        <w:rPr>
          <w:rFonts w:hint="eastAsia" w:ascii="宋体" w:hAnsi="宋体"/>
          <w:sz w:val="24"/>
          <w:szCs w:val="24"/>
        </w:rPr>
        <w:t>（2）基本劳务服务费=投标人根据以往经验及现场工作量所报价的保本劳务服务费。</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2、基本劳务服务费最高限价为84000元/月（不低于12人）。高于或等于最高限价的为无效报价。</w:t>
      </w:r>
    </w:p>
    <w:p>
      <w:pPr>
        <w:autoSpaceDE w:val="0"/>
        <w:autoSpaceDN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3、管理服务费费率最低限价为10%（保留小数点后两位）。低于或等于限价费率的为无效报价。</w:t>
      </w:r>
    </w:p>
    <w:p>
      <w:pPr>
        <w:snapToGrid w:val="0"/>
        <w:spacing w:line="360" w:lineRule="auto"/>
        <w:rPr>
          <w:rFonts w:ascii="宋体" w:hAnsi="宋体"/>
          <w:b/>
          <w:bCs/>
          <w:sz w:val="24"/>
          <w:szCs w:val="24"/>
        </w:rPr>
      </w:pPr>
      <w:r>
        <w:rPr>
          <w:rFonts w:hint="eastAsia" w:ascii="宋体" w:hAnsi="宋体"/>
          <w:b/>
          <w:bCs/>
          <w:sz w:val="24"/>
          <w:szCs w:val="24"/>
        </w:rPr>
        <w:t>三、项目需求说明：</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1、</w:t>
      </w:r>
      <w:r>
        <w:rPr>
          <w:rFonts w:hint="eastAsia" w:ascii="宋体" w:hAnsi="宋体"/>
          <w:sz w:val="24"/>
          <w:szCs w:val="24"/>
        </w:rPr>
        <w:t>招标范围：月台装卸作业、进出库作业、库区货位整理、作业区卫生等服务。具体详见招标文件项目需求。</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2、</w:t>
      </w:r>
      <w:r>
        <w:rPr>
          <w:rFonts w:hint="eastAsia" w:ascii="宋体" w:hAnsi="宋体"/>
          <w:sz w:val="24"/>
          <w:szCs w:val="24"/>
        </w:rPr>
        <w:t>服务地点：</w:t>
      </w:r>
      <w:r>
        <w:rPr>
          <w:rFonts w:hint="eastAsia" w:ascii="宋体" w:hAnsi="宋体"/>
          <w:bCs/>
          <w:sz w:val="24"/>
          <w:szCs w:val="24"/>
        </w:rPr>
        <w:t>南通农副产品物流有限公司冷链部</w:t>
      </w:r>
    </w:p>
    <w:p>
      <w:pPr>
        <w:widowControl/>
        <w:spacing w:line="360" w:lineRule="auto"/>
        <w:ind w:firstLine="480" w:firstLineChars="200"/>
        <w:contextualSpacing/>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服务期限</w:t>
      </w:r>
      <w:r>
        <w:rPr>
          <w:rFonts w:hint="eastAsia" w:ascii="宋体" w:hAnsi="宋体" w:cs="Arial"/>
          <w:kern w:val="0"/>
          <w:sz w:val="24"/>
          <w:szCs w:val="24"/>
        </w:rPr>
        <w:t>：两年。每月结算。</w:t>
      </w:r>
    </w:p>
    <w:p>
      <w:pPr>
        <w:widowControl/>
        <w:spacing w:line="360" w:lineRule="auto"/>
        <w:ind w:firstLine="480" w:firstLineChars="200"/>
        <w:contextualSpacing/>
        <w:jc w:val="left"/>
        <w:textAlignment w:val="baseline"/>
        <w:rPr>
          <w:rFonts w:ascii="宋体" w:hAnsi="宋体"/>
          <w:kern w:val="0"/>
          <w:sz w:val="24"/>
          <w:szCs w:val="24"/>
        </w:rPr>
      </w:pPr>
      <w:r>
        <w:rPr>
          <w:rFonts w:hint="eastAsia" w:ascii="宋体" w:hAnsi="宋体"/>
          <w:kern w:val="0"/>
          <w:sz w:val="24"/>
          <w:szCs w:val="24"/>
        </w:rPr>
        <w:t>4、标段划分：</w:t>
      </w:r>
      <w:r>
        <w:rPr>
          <w:rFonts w:hint="eastAsia" w:ascii="宋体" w:hAnsi="宋体"/>
          <w:kern w:val="0"/>
          <w:sz w:val="24"/>
          <w:szCs w:val="24"/>
          <w:u w:val="single"/>
        </w:rPr>
        <w:t>1</w:t>
      </w:r>
      <w:r>
        <w:rPr>
          <w:rFonts w:hint="eastAsia" w:ascii="宋体" w:hAnsi="宋体"/>
          <w:kern w:val="0"/>
          <w:sz w:val="24"/>
          <w:szCs w:val="24"/>
        </w:rPr>
        <w:t>个标段。</w:t>
      </w:r>
    </w:p>
    <w:p>
      <w:pPr>
        <w:spacing w:line="360" w:lineRule="auto"/>
        <w:contextualSpacing/>
        <w:rPr>
          <w:rFonts w:ascii="宋体" w:hAnsi="宋体"/>
          <w:b/>
          <w:bCs/>
          <w:sz w:val="24"/>
          <w:szCs w:val="24"/>
        </w:rPr>
      </w:pPr>
      <w:r>
        <w:rPr>
          <w:rFonts w:hint="eastAsia" w:ascii="宋体" w:hAnsi="宋体"/>
          <w:b/>
          <w:bCs/>
          <w:sz w:val="24"/>
          <w:szCs w:val="24"/>
        </w:rPr>
        <w:t>四、服务商资格要求：</w:t>
      </w:r>
    </w:p>
    <w:p>
      <w:pPr>
        <w:spacing w:line="360" w:lineRule="auto"/>
        <w:ind w:firstLine="480" w:firstLineChars="200"/>
        <w:contextualSpacing/>
        <w:rPr>
          <w:rFonts w:ascii="宋体" w:hAnsi="宋体"/>
          <w:sz w:val="24"/>
          <w:szCs w:val="24"/>
        </w:rPr>
      </w:pPr>
      <w:r>
        <w:rPr>
          <w:rFonts w:hint="eastAsia" w:ascii="宋体" w:hAnsi="宋体"/>
          <w:sz w:val="24"/>
          <w:szCs w:val="24"/>
        </w:rPr>
        <w:t>（一）符合政府采购法第二十二条第一款规定的条件，并提供下列材料：</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 xml:space="preserve">1、具有独立订立合同的能力； </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2、未处于被责令停业、投标资格被取消或者财产被接管、冻结和破产状态；</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3、企业没有因骗取中标或者严重违约以及发生重大工程质量、安全生产事故等违法违规问题，被有关部门暂停投标资格并在暂停期内的；</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w:t>
      </w:r>
      <w:bookmarkStart w:id="8" w:name="OLE_LINK8"/>
      <w:bookmarkStart w:id="9" w:name="OLE_LINK7"/>
      <w:r>
        <w:rPr>
          <w:rFonts w:hint="eastAsia" w:ascii="宋体" w:hAnsi="宋体" w:cs="宋体"/>
          <w:kern w:val="0"/>
          <w:sz w:val="24"/>
          <w:szCs w:val="24"/>
        </w:rPr>
        <w:t>法定代表人为同一个人的两个及两个以上法人，母公司、全资子公司及其控股公司，都不得在同一采购项目相同标段中同时参加投标，一经发现，将视同围标处理；</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5、具有独立法人资格的投标单位，具有有效的营业执照、组织机构代码证、税务登记证或三证合一的营业执照</w:t>
      </w:r>
      <w:r>
        <w:rPr>
          <w:rFonts w:hint="eastAsia" w:ascii="宋体" w:hAnsi="宋体" w:cs="宋体"/>
          <w:spacing w:val="-1"/>
          <w:kern w:val="0"/>
          <w:sz w:val="24"/>
        </w:rPr>
        <w:t>(经营范围必须包含装卸、搬运业务)。</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6、投标企业规模：日作业能力不低于</w:t>
      </w:r>
      <w:r>
        <w:rPr>
          <w:rFonts w:ascii="宋体" w:hAnsi="宋体" w:cs="宋体"/>
          <w:kern w:val="0"/>
          <w:sz w:val="24"/>
          <w:szCs w:val="24"/>
        </w:rPr>
        <w:t>800</w:t>
      </w:r>
      <w:r>
        <w:rPr>
          <w:rFonts w:hint="eastAsia" w:ascii="宋体" w:hAnsi="宋体" w:cs="宋体"/>
          <w:kern w:val="0"/>
          <w:sz w:val="24"/>
          <w:szCs w:val="24"/>
        </w:rPr>
        <w:t>吨。人力装卸工不低于6人、叉车工不低于6人。</w:t>
      </w:r>
    </w:p>
    <w:p>
      <w:pPr>
        <w:widowControl/>
        <w:tabs>
          <w:tab w:val="left" w:pos="0"/>
          <w:tab w:val="left" w:pos="993"/>
          <w:tab w:val="left" w:pos="1134"/>
        </w:tabs>
        <w:adjustRightInd w:val="0"/>
        <w:spacing w:line="360" w:lineRule="auto"/>
        <w:ind w:firstLine="480" w:firstLineChars="200"/>
        <w:rPr>
          <w:rFonts w:ascii="宋体" w:hAnsi="宋体" w:cs="Arial"/>
          <w:sz w:val="24"/>
        </w:rPr>
      </w:pPr>
      <w:r>
        <w:rPr>
          <w:rFonts w:hint="eastAsia" w:ascii="宋体" w:hAnsi="宋体" w:cs="宋体"/>
          <w:kern w:val="0"/>
          <w:sz w:val="24"/>
          <w:szCs w:val="24"/>
        </w:rPr>
        <w:t>7、投标</w:t>
      </w:r>
      <w:r>
        <w:rPr>
          <w:rFonts w:hint="eastAsia" w:ascii="宋体" w:hAnsi="宋体" w:cs="Arial"/>
          <w:sz w:val="24"/>
        </w:rPr>
        <w:t>企业出具为参加本项目投标的授权委托人及相关工作人员在所在地社保机构缴纳的2019年8月至2020年1月连续6个月的养老保险缴费清单证明；</w:t>
      </w:r>
    </w:p>
    <w:bookmarkEnd w:id="8"/>
    <w:bookmarkEnd w:id="9"/>
    <w:p>
      <w:pPr>
        <w:spacing w:line="360" w:lineRule="auto"/>
        <w:ind w:firstLine="480" w:firstLineChars="200"/>
        <w:rPr>
          <w:rFonts w:ascii="宋体" w:hAnsi="宋体"/>
          <w:sz w:val="24"/>
          <w:szCs w:val="24"/>
        </w:rPr>
      </w:pPr>
      <w:r>
        <w:rPr>
          <w:rFonts w:hint="eastAsia" w:ascii="宋体" w:hAnsi="宋体"/>
          <w:sz w:val="24"/>
          <w:szCs w:val="24"/>
        </w:rPr>
        <w:t>（二）本项目</w:t>
      </w:r>
      <w:r>
        <w:rPr>
          <w:rFonts w:hint="eastAsia" w:ascii="宋体" w:hAnsi="宋体"/>
          <w:sz w:val="24"/>
          <w:szCs w:val="24"/>
          <w:u w:val="single"/>
        </w:rPr>
        <w:t xml:space="preserve"> 不接受 </w:t>
      </w:r>
      <w:r>
        <w:rPr>
          <w:rFonts w:hint="eastAsia" w:ascii="宋体" w:hAnsi="宋体"/>
          <w:sz w:val="24"/>
          <w:szCs w:val="24"/>
        </w:rPr>
        <w:t>联合体投标；</w:t>
      </w:r>
    </w:p>
    <w:p>
      <w:pPr>
        <w:spacing w:line="360" w:lineRule="auto"/>
        <w:contextualSpacing/>
        <w:rPr>
          <w:rFonts w:ascii="宋体" w:hAnsi="宋体"/>
          <w:b/>
          <w:bCs/>
          <w:sz w:val="24"/>
          <w:szCs w:val="24"/>
        </w:rPr>
      </w:pPr>
      <w:r>
        <w:rPr>
          <w:rFonts w:hint="eastAsia" w:ascii="宋体" w:hAnsi="宋体"/>
          <w:b/>
          <w:bCs/>
          <w:sz w:val="24"/>
          <w:szCs w:val="24"/>
        </w:rPr>
        <w:t>五、投标保证金：</w:t>
      </w:r>
    </w:p>
    <w:p>
      <w:pPr>
        <w:spacing w:line="360" w:lineRule="auto"/>
        <w:ind w:firstLine="480" w:firstLineChars="200"/>
        <w:rPr>
          <w:rFonts w:ascii="宋体" w:hAnsi="宋体" w:cs="宋体"/>
          <w:b/>
          <w:sz w:val="24"/>
          <w:szCs w:val="24"/>
        </w:rPr>
      </w:pPr>
      <w:r>
        <w:rPr>
          <w:rFonts w:hint="eastAsia" w:ascii="宋体" w:hAnsi="宋体" w:cs="宋体"/>
          <w:sz w:val="24"/>
          <w:szCs w:val="24"/>
        </w:rPr>
        <w:t>1、投标保证金的金额：人民币</w:t>
      </w:r>
      <w:r>
        <w:rPr>
          <w:rFonts w:hint="eastAsia" w:ascii="宋体" w:hAnsi="宋体" w:cs="宋体"/>
          <w:b/>
          <w:sz w:val="24"/>
          <w:szCs w:val="24"/>
        </w:rPr>
        <w:t>4000元整／投标单位。</w:t>
      </w:r>
    </w:p>
    <w:p>
      <w:pPr>
        <w:spacing w:line="360" w:lineRule="auto"/>
        <w:ind w:firstLine="480" w:firstLineChars="200"/>
        <w:rPr>
          <w:rFonts w:ascii="宋体" w:hAnsi="宋体" w:cs="宋体"/>
          <w:b/>
          <w:sz w:val="24"/>
          <w:szCs w:val="24"/>
        </w:rPr>
      </w:pPr>
      <w:r>
        <w:rPr>
          <w:rFonts w:hint="eastAsia" w:ascii="宋体" w:hAnsi="宋体" w:cs="宋体"/>
          <w:sz w:val="24"/>
          <w:szCs w:val="24"/>
        </w:rPr>
        <w:t>2、投标保证金的形式：</w:t>
      </w:r>
      <w:r>
        <w:rPr>
          <w:rFonts w:hint="eastAsia" w:ascii="宋体" w:hAnsi="宋体" w:cs="宋体"/>
          <w:b/>
          <w:sz w:val="24"/>
          <w:szCs w:val="24"/>
        </w:rPr>
        <w:t>现金（其他形式概不接收）。在递交投标文件时交给采购代理机构。</w:t>
      </w:r>
      <w:r>
        <w:rPr>
          <w:rFonts w:hint="eastAsia" w:ascii="宋体" w:hAnsi="宋体" w:cs="宋体"/>
          <w:kern w:val="0"/>
          <w:sz w:val="24"/>
          <w:szCs w:val="24"/>
        </w:rPr>
        <w:t>（须用信封单独密封，并注明投标人名称）</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3、未按上述要求提交投标保证金的投标单位，招标采购单位有权拒绝其投标文件。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4、中标单位的投标保证金，待双方签订合同生效后7日内退还（无息）；未中标单位的投标保证金，当场退还。</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5、履约保证金为壹万元整。中标人须在中标通知书发出后7日内交齐履约保证金后根据招标文件的要求签订合同，否则视为自动放弃中标资格，且投标保证金不予退还。</w:t>
      </w:r>
      <w:r>
        <w:rPr>
          <w:rFonts w:ascii="宋体" w:hAnsi="宋体" w:cs="宋体"/>
          <w:kern w:val="0"/>
          <w:sz w:val="24"/>
          <w:szCs w:val="24"/>
        </w:rPr>
        <w:t>履约保证金在</w:t>
      </w:r>
      <w:r>
        <w:rPr>
          <w:rFonts w:hint="eastAsia" w:ascii="宋体" w:hAnsi="宋体" w:cs="宋体"/>
          <w:kern w:val="0"/>
          <w:sz w:val="24"/>
          <w:szCs w:val="24"/>
        </w:rPr>
        <w:t>服务期结束</w:t>
      </w:r>
      <w:r>
        <w:rPr>
          <w:rFonts w:ascii="宋体" w:hAnsi="宋体" w:cs="宋体"/>
          <w:kern w:val="0"/>
          <w:sz w:val="24"/>
          <w:szCs w:val="24"/>
        </w:rPr>
        <w:t>后按实际履约情况退还（无息）。</w:t>
      </w:r>
    </w:p>
    <w:p>
      <w:pPr>
        <w:spacing w:line="360" w:lineRule="auto"/>
        <w:contextualSpacing/>
        <w:rPr>
          <w:rFonts w:ascii="宋体" w:hAnsi="宋体" w:cs="宋体"/>
          <w:b/>
          <w:sz w:val="24"/>
          <w:szCs w:val="24"/>
        </w:rPr>
      </w:pPr>
      <w:r>
        <w:rPr>
          <w:rFonts w:hint="eastAsia" w:ascii="宋体" w:hAnsi="宋体" w:cs="宋体"/>
          <w:b/>
          <w:sz w:val="24"/>
          <w:szCs w:val="24"/>
        </w:rPr>
        <w:t>六、</w:t>
      </w:r>
      <w:bookmarkStart w:id="10" w:name="_Toc389065126"/>
      <w:r>
        <w:rPr>
          <w:rFonts w:hint="eastAsia" w:ascii="宋体" w:hAnsi="宋体" w:cs="宋体"/>
          <w:b/>
          <w:sz w:val="24"/>
          <w:szCs w:val="24"/>
        </w:rPr>
        <w:t>招标文件的获取</w:t>
      </w:r>
      <w:bookmarkEnd w:id="10"/>
      <w:r>
        <w:rPr>
          <w:rFonts w:hint="eastAsia" w:ascii="宋体" w:hAnsi="宋体" w:cs="宋体"/>
          <w:b/>
          <w:sz w:val="24"/>
          <w:szCs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1、招标文件获取时间为： </w:t>
      </w:r>
      <w:r>
        <w:rPr>
          <w:rFonts w:hint="eastAsia" w:ascii="宋体" w:hAnsi="宋体" w:cs="宋体"/>
          <w:b/>
          <w:kern w:val="0"/>
          <w:sz w:val="24"/>
          <w:u w:val="single"/>
        </w:rPr>
        <w:t>自公告发布之日起；</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2、招标文件获取方式：投标人无需报名，自本公告发布之日</w:t>
      </w:r>
      <w:r>
        <w:rPr>
          <w:rFonts w:hint="eastAsia" w:ascii="宋体" w:hAnsi="宋体" w:cs="宋体"/>
          <w:kern w:val="0"/>
          <w:sz w:val="24"/>
          <w:highlight w:val="none"/>
        </w:rPr>
        <w:t>2020年5月2</w:t>
      </w:r>
      <w:r>
        <w:rPr>
          <w:rFonts w:hint="eastAsia" w:ascii="宋体" w:hAnsi="宋体" w:cs="宋体"/>
          <w:kern w:val="0"/>
          <w:sz w:val="24"/>
          <w:highlight w:val="none"/>
          <w:lang w:val="en-US" w:eastAsia="zh-CN"/>
        </w:rPr>
        <w:t>8</w:t>
      </w:r>
      <w:r>
        <w:rPr>
          <w:rFonts w:hint="eastAsia" w:ascii="宋体" w:hAnsi="宋体" w:cs="宋体"/>
          <w:kern w:val="0"/>
          <w:sz w:val="24"/>
          <w:highlight w:val="none"/>
        </w:rPr>
        <w:t>日至2020年6月1</w:t>
      </w:r>
      <w:r>
        <w:rPr>
          <w:rFonts w:hint="eastAsia" w:ascii="宋体" w:hAnsi="宋体" w:cs="宋体"/>
          <w:kern w:val="0"/>
          <w:sz w:val="24"/>
          <w:highlight w:val="none"/>
          <w:lang w:val="en-US" w:eastAsia="zh-CN"/>
        </w:rPr>
        <w:t>7</w:t>
      </w:r>
      <w:r>
        <w:rPr>
          <w:rFonts w:hint="eastAsia" w:ascii="宋体" w:hAnsi="宋体" w:cs="宋体"/>
          <w:kern w:val="0"/>
          <w:sz w:val="24"/>
          <w:highlight w:val="none"/>
        </w:rPr>
        <w:t>日可在</w:t>
      </w:r>
      <w:bookmarkStart w:id="11" w:name="OLE_LINK2"/>
      <w:r>
        <w:rPr>
          <w:rFonts w:hint="eastAsia" w:cs="宋体" w:asciiTheme="majorEastAsia" w:hAnsiTheme="majorEastAsia" w:eastAsiaTheme="majorEastAsia"/>
          <w:color w:val="000000" w:themeColor="text1"/>
          <w:kern w:val="0"/>
          <w:sz w:val="24"/>
          <w:szCs w:val="24"/>
          <w:highlight w:val="none"/>
        </w:rPr>
        <w:t>南通汽运实业集团有限公司网站</w:t>
      </w:r>
      <w:bookmarkEnd w:id="11"/>
      <w:r>
        <w:rPr>
          <w:rFonts w:hint="eastAsia" w:ascii="宋体" w:hAnsi="宋体" w:cs="宋体"/>
          <w:kern w:val="0"/>
          <w:sz w:val="24"/>
          <w:highlight w:val="none"/>
        </w:rPr>
        <w:t>“</w:t>
      </w:r>
      <w:r>
        <w:rPr>
          <w:rFonts w:ascii="宋体" w:hAnsi="宋体" w:cs="宋体"/>
          <w:kern w:val="0"/>
          <w:sz w:val="24"/>
          <w:highlight w:val="none"/>
        </w:rPr>
        <w:t>http://w</w:t>
      </w:r>
      <w:r>
        <w:rPr>
          <w:rFonts w:ascii="宋体" w:hAnsi="宋体" w:cs="宋体"/>
          <w:kern w:val="0"/>
          <w:sz w:val="24"/>
        </w:rPr>
        <w:t>ww.ntqyjt.com.cn/</w:t>
      </w:r>
      <w:r>
        <w:rPr>
          <w:rFonts w:hint="eastAsia" w:ascii="宋体" w:hAnsi="宋体" w:cs="宋体"/>
          <w:kern w:val="0"/>
          <w:sz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hint="eastAsia" w:ascii="宋体" w:hAnsi="宋体" w:cs="宋体"/>
          <w:kern w:val="0"/>
          <w:sz w:val="24"/>
        </w:rPr>
        <w:t>“http://www.ntnfcp.com/”上直接下载招标文件。</w:t>
      </w:r>
    </w:p>
    <w:p>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3、投标人应承担其编制投标文件以及递交投标文件所涉及的一切费用，招标文件每套售价300元（现金），于递交标书时同时递交，否则投标文件将不予接收。无论是否中标，该费用不予退还。</w:t>
      </w:r>
    </w:p>
    <w:p>
      <w:pPr>
        <w:spacing w:line="360" w:lineRule="auto"/>
        <w:contextualSpacing/>
        <w:rPr>
          <w:rFonts w:ascii="宋体" w:hAnsi="宋体" w:cs="宋体"/>
          <w:b/>
          <w:sz w:val="24"/>
          <w:szCs w:val="24"/>
        </w:rPr>
      </w:pPr>
      <w:r>
        <w:rPr>
          <w:rFonts w:hint="eastAsia" w:ascii="宋体" w:hAnsi="宋体"/>
          <w:b/>
          <w:sz w:val="24"/>
          <w:szCs w:val="24"/>
          <w:lang w:val="zh-CN"/>
        </w:rPr>
        <w:t>七、</w:t>
      </w:r>
      <w:r>
        <w:rPr>
          <w:rFonts w:hint="eastAsia" w:ascii="宋体" w:hAnsi="宋体" w:cs="宋体"/>
          <w:b/>
          <w:sz w:val="24"/>
          <w:szCs w:val="24"/>
        </w:rPr>
        <w:t>投标截止时间及开标时间：</w:t>
      </w:r>
    </w:p>
    <w:p>
      <w:pPr>
        <w:spacing w:line="360" w:lineRule="auto"/>
        <w:ind w:firstLine="480" w:firstLineChars="200"/>
        <w:contextualSpacing/>
        <w:rPr>
          <w:rFonts w:ascii="宋体" w:hAnsi="宋体"/>
          <w:sz w:val="24"/>
          <w:szCs w:val="24"/>
          <w:highlight w:val="none"/>
        </w:rPr>
      </w:pPr>
      <w:r>
        <w:rPr>
          <w:rFonts w:hint="eastAsia" w:ascii="宋体" w:hAnsi="宋体"/>
          <w:sz w:val="24"/>
          <w:szCs w:val="24"/>
        </w:rPr>
        <w:t xml:space="preserve">1、投标截止时间为 </w:t>
      </w:r>
      <w:r>
        <w:rPr>
          <w:rFonts w:hint="eastAsia" w:ascii="宋体" w:hAnsi="宋体"/>
          <w:sz w:val="24"/>
          <w:szCs w:val="24"/>
          <w:highlight w:val="none"/>
        </w:rPr>
        <w:t>：</w:t>
      </w:r>
      <w:r>
        <w:rPr>
          <w:rFonts w:hint="eastAsia" w:ascii="宋体" w:hAnsi="宋体"/>
          <w:sz w:val="24"/>
          <w:szCs w:val="24"/>
          <w:highlight w:val="none"/>
          <w:u w:val="single"/>
        </w:rPr>
        <w:t xml:space="preserve">2020 </w:t>
      </w:r>
      <w:r>
        <w:rPr>
          <w:rFonts w:hint="eastAsia" w:ascii="宋体" w:hAnsi="宋体"/>
          <w:sz w:val="24"/>
          <w:szCs w:val="24"/>
          <w:highlight w:val="none"/>
        </w:rPr>
        <w:t>年</w:t>
      </w:r>
      <w:r>
        <w:rPr>
          <w:rFonts w:hint="eastAsia" w:ascii="宋体" w:hAnsi="宋体"/>
          <w:sz w:val="24"/>
          <w:szCs w:val="24"/>
          <w:highlight w:val="none"/>
          <w:u w:val="single"/>
        </w:rPr>
        <w:t>6</w:t>
      </w:r>
      <w:r>
        <w:rPr>
          <w:rFonts w:hint="eastAsia" w:ascii="宋体" w:hAnsi="宋体"/>
          <w:sz w:val="24"/>
          <w:szCs w:val="24"/>
          <w:highlight w:val="none"/>
        </w:rPr>
        <w:t>月</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7</w:t>
      </w:r>
      <w:r>
        <w:rPr>
          <w:rFonts w:hint="eastAsia" w:ascii="宋体" w:hAnsi="宋体"/>
          <w:sz w:val="24"/>
          <w:szCs w:val="24"/>
          <w:highlight w:val="none"/>
        </w:rPr>
        <w:t>日</w:t>
      </w:r>
      <w:r>
        <w:rPr>
          <w:rFonts w:hint="eastAsia" w:ascii="宋体" w:hAnsi="宋体"/>
          <w:sz w:val="24"/>
          <w:szCs w:val="24"/>
          <w:highlight w:val="none"/>
          <w:u w:val="single"/>
        </w:rPr>
        <w:t xml:space="preserve"> 9 </w:t>
      </w:r>
      <w:r>
        <w:rPr>
          <w:rFonts w:hint="eastAsia" w:ascii="宋体" w:hAnsi="宋体"/>
          <w:sz w:val="24"/>
          <w:szCs w:val="24"/>
          <w:highlight w:val="none"/>
        </w:rPr>
        <w:t>时</w:t>
      </w:r>
      <w:r>
        <w:rPr>
          <w:rFonts w:hint="eastAsia" w:ascii="宋体" w:hAnsi="宋体"/>
          <w:sz w:val="24"/>
          <w:szCs w:val="24"/>
          <w:highlight w:val="none"/>
          <w:u w:val="single"/>
        </w:rPr>
        <w:t xml:space="preserve"> 30</w:t>
      </w:r>
      <w:r>
        <w:rPr>
          <w:rFonts w:hint="eastAsia" w:ascii="宋体" w:hAnsi="宋体"/>
          <w:sz w:val="24"/>
          <w:szCs w:val="24"/>
          <w:highlight w:val="none"/>
        </w:rPr>
        <w:t>分。</w:t>
      </w:r>
    </w:p>
    <w:p>
      <w:pPr>
        <w:spacing w:line="360" w:lineRule="auto"/>
        <w:ind w:firstLine="480" w:firstLineChars="200"/>
        <w:contextualSpacing/>
        <w:rPr>
          <w:rFonts w:ascii="宋体" w:hAnsi="宋体"/>
          <w:sz w:val="24"/>
          <w:szCs w:val="24"/>
        </w:rPr>
      </w:pPr>
      <w:r>
        <w:rPr>
          <w:rFonts w:hint="eastAsia" w:ascii="宋体" w:hAnsi="宋体"/>
          <w:sz w:val="24"/>
          <w:szCs w:val="24"/>
        </w:rPr>
        <w:t>2、文本投标文件递交地点为：</w:t>
      </w:r>
      <w:r>
        <w:rPr>
          <w:rFonts w:hint="eastAsia" w:ascii="宋体" w:hAnsi="宋体"/>
          <w:sz w:val="24"/>
          <w:szCs w:val="24"/>
          <w:u w:val="single"/>
        </w:rPr>
        <w:t>南通农副产品物流有限公司展销楼五楼会议室，崇川区崇川路777号（来客商务宾馆楼上）</w:t>
      </w:r>
      <w:r>
        <w:rPr>
          <w:rFonts w:hint="eastAsia" w:ascii="宋体" w:hAnsi="宋体"/>
          <w:sz w:val="24"/>
          <w:szCs w:val="24"/>
        </w:rPr>
        <w:t>。逾期送达或者未送达指定地点的投标文件，招标人不予受理。</w:t>
      </w:r>
    </w:p>
    <w:p>
      <w:pPr>
        <w:spacing w:line="360" w:lineRule="auto"/>
        <w:ind w:firstLine="482" w:firstLineChars="200"/>
        <w:contextualSpacing/>
        <w:rPr>
          <w:rFonts w:ascii="宋体" w:hAnsi="宋体"/>
          <w:b/>
          <w:bCs/>
          <w:sz w:val="24"/>
          <w:szCs w:val="24"/>
        </w:rPr>
      </w:pPr>
      <w:r>
        <w:rPr>
          <w:rFonts w:hint="eastAsia" w:ascii="宋体" w:hAnsi="宋体"/>
          <w:b/>
          <w:sz w:val="24"/>
          <w:szCs w:val="24"/>
        </w:rPr>
        <w:t>3、</w:t>
      </w:r>
      <w:r>
        <w:rPr>
          <w:rFonts w:hint="eastAsia" w:ascii="宋体" w:hAnsi="宋体"/>
          <w:b/>
          <w:bCs/>
          <w:sz w:val="24"/>
          <w:szCs w:val="24"/>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人）准时参加开标会，否则，其投标文件不予接受。</w:t>
      </w:r>
    </w:p>
    <w:p>
      <w:pPr>
        <w:spacing w:line="360" w:lineRule="auto"/>
        <w:ind w:firstLine="482" w:firstLineChars="200"/>
        <w:contextualSpacing/>
        <w:rPr>
          <w:rFonts w:ascii="宋体" w:hAnsi="宋体"/>
          <w:sz w:val="24"/>
          <w:szCs w:val="24"/>
          <w:highlight w:val="none"/>
        </w:rPr>
      </w:pPr>
      <w:r>
        <w:rPr>
          <w:rFonts w:hint="eastAsia" w:ascii="宋体" w:hAnsi="宋体"/>
          <w:b/>
          <w:bCs/>
          <w:sz w:val="24"/>
          <w:szCs w:val="24"/>
        </w:rPr>
        <w:t>4、开标时间</w:t>
      </w:r>
      <w:r>
        <w:rPr>
          <w:rFonts w:hint="eastAsia" w:ascii="宋体" w:hAnsi="宋体"/>
          <w:b/>
          <w:bCs/>
          <w:sz w:val="24"/>
          <w:szCs w:val="24"/>
          <w:highlight w:val="none"/>
        </w:rPr>
        <w:t>：</w:t>
      </w:r>
      <w:r>
        <w:rPr>
          <w:rFonts w:hint="eastAsia" w:ascii="宋体" w:hAnsi="宋体"/>
          <w:sz w:val="24"/>
          <w:szCs w:val="24"/>
          <w:highlight w:val="none"/>
          <w:u w:val="single"/>
        </w:rPr>
        <w:t xml:space="preserve">2020 </w:t>
      </w:r>
      <w:r>
        <w:rPr>
          <w:rFonts w:hint="eastAsia" w:ascii="宋体" w:hAnsi="宋体"/>
          <w:sz w:val="24"/>
          <w:szCs w:val="24"/>
          <w:highlight w:val="none"/>
        </w:rPr>
        <w:t>年</w:t>
      </w:r>
      <w:r>
        <w:rPr>
          <w:rFonts w:hint="eastAsia" w:ascii="宋体" w:hAnsi="宋体"/>
          <w:sz w:val="24"/>
          <w:szCs w:val="24"/>
          <w:highlight w:val="none"/>
          <w:u w:val="single"/>
        </w:rPr>
        <w:t>6</w:t>
      </w:r>
      <w:r>
        <w:rPr>
          <w:rFonts w:hint="eastAsia" w:ascii="宋体" w:hAnsi="宋体"/>
          <w:sz w:val="24"/>
          <w:szCs w:val="24"/>
          <w:highlight w:val="none"/>
        </w:rPr>
        <w:t>月</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7</w:t>
      </w:r>
      <w:bookmarkStart w:id="182" w:name="_GoBack"/>
      <w:bookmarkEnd w:id="182"/>
      <w:r>
        <w:rPr>
          <w:rFonts w:hint="eastAsia" w:ascii="宋体" w:hAnsi="宋体"/>
          <w:sz w:val="24"/>
          <w:szCs w:val="24"/>
          <w:highlight w:val="none"/>
        </w:rPr>
        <w:t>日</w:t>
      </w:r>
      <w:r>
        <w:rPr>
          <w:rFonts w:hint="eastAsia" w:ascii="宋体" w:hAnsi="宋体"/>
          <w:sz w:val="24"/>
          <w:szCs w:val="24"/>
          <w:highlight w:val="none"/>
          <w:u w:val="single"/>
        </w:rPr>
        <w:t xml:space="preserve"> 9 </w:t>
      </w:r>
      <w:r>
        <w:rPr>
          <w:rFonts w:hint="eastAsia" w:ascii="宋体" w:hAnsi="宋体"/>
          <w:sz w:val="24"/>
          <w:szCs w:val="24"/>
          <w:highlight w:val="none"/>
        </w:rPr>
        <w:t>时</w:t>
      </w:r>
      <w:r>
        <w:rPr>
          <w:rFonts w:hint="eastAsia" w:ascii="宋体" w:hAnsi="宋体"/>
          <w:sz w:val="24"/>
          <w:szCs w:val="24"/>
          <w:highlight w:val="none"/>
          <w:u w:val="single"/>
        </w:rPr>
        <w:t xml:space="preserve"> 30</w:t>
      </w:r>
      <w:r>
        <w:rPr>
          <w:rFonts w:hint="eastAsia" w:ascii="宋体" w:hAnsi="宋体"/>
          <w:sz w:val="24"/>
          <w:szCs w:val="24"/>
          <w:highlight w:val="none"/>
        </w:rPr>
        <w:t>分。</w:t>
      </w:r>
    </w:p>
    <w:p>
      <w:pPr>
        <w:spacing w:line="360" w:lineRule="auto"/>
        <w:ind w:firstLine="482" w:firstLineChars="200"/>
        <w:contextualSpacing/>
        <w:rPr>
          <w:rFonts w:ascii="宋体" w:hAnsi="宋体"/>
          <w:b/>
          <w:bCs/>
          <w:sz w:val="24"/>
          <w:szCs w:val="24"/>
        </w:rPr>
      </w:pPr>
      <w:r>
        <w:rPr>
          <w:rFonts w:hint="eastAsia" w:ascii="宋体" w:hAnsi="宋体"/>
          <w:b/>
          <w:bCs/>
          <w:sz w:val="24"/>
          <w:szCs w:val="24"/>
        </w:rPr>
        <w:t>5、开标地点：</w:t>
      </w:r>
      <w:r>
        <w:rPr>
          <w:rFonts w:hint="eastAsia" w:ascii="宋体" w:hAnsi="宋体"/>
          <w:sz w:val="24"/>
          <w:szCs w:val="24"/>
          <w:u w:val="single"/>
        </w:rPr>
        <w:t>南通农副产品物流有限公司展销楼五楼会议室，崇川区崇川路777号（来客商务宾馆楼上）</w:t>
      </w:r>
    </w:p>
    <w:p>
      <w:pPr>
        <w:spacing w:line="360" w:lineRule="auto"/>
        <w:contextualSpacing/>
        <w:rPr>
          <w:rFonts w:ascii="宋体" w:hAnsi="宋体"/>
          <w:b/>
          <w:sz w:val="24"/>
          <w:szCs w:val="24"/>
          <w:lang w:val="zh-CN"/>
        </w:rPr>
      </w:pPr>
      <w:r>
        <w:rPr>
          <w:rFonts w:hint="eastAsia" w:ascii="宋体" w:hAnsi="宋体"/>
          <w:b/>
          <w:sz w:val="24"/>
          <w:szCs w:val="24"/>
          <w:lang w:val="zh-CN"/>
        </w:rPr>
        <w:t>八、资格审查：</w:t>
      </w:r>
    </w:p>
    <w:p>
      <w:pPr>
        <w:topLinePunct/>
        <w:adjustRightInd w:val="0"/>
        <w:snapToGrid w:val="0"/>
        <w:spacing w:line="360" w:lineRule="auto"/>
        <w:ind w:firstLine="484" w:firstLineChars="202"/>
        <w:rPr>
          <w:rFonts w:ascii="宋体" w:hAnsi="宋体" w:cs="宋体"/>
          <w:sz w:val="24"/>
        </w:rPr>
      </w:pPr>
      <w:r>
        <w:rPr>
          <w:rFonts w:hint="eastAsia" w:ascii="宋体" w:hAnsi="宋体" w:cs="宋体"/>
          <w:sz w:val="24"/>
        </w:rPr>
        <w:t xml:space="preserve">本次招标采用资格后审方式进行资格审查，资格评审标准详见招标文件第五章。   </w:t>
      </w:r>
    </w:p>
    <w:p>
      <w:pPr>
        <w:spacing w:line="360" w:lineRule="auto"/>
        <w:contextualSpacing/>
        <w:rPr>
          <w:rFonts w:ascii="宋体" w:hAnsi="宋体"/>
          <w:b/>
          <w:sz w:val="24"/>
          <w:szCs w:val="24"/>
          <w:lang w:val="zh-CN"/>
        </w:rPr>
      </w:pPr>
      <w:bookmarkStart w:id="12" w:name="_Toc3205055"/>
      <w:r>
        <w:rPr>
          <w:rFonts w:hint="eastAsia" w:ascii="宋体" w:hAnsi="宋体"/>
          <w:b/>
          <w:sz w:val="24"/>
          <w:szCs w:val="24"/>
          <w:lang w:val="zh-CN"/>
        </w:rPr>
        <w:t>九、 评标方法</w:t>
      </w:r>
      <w:bookmarkEnd w:id="12"/>
      <w:r>
        <w:rPr>
          <w:rFonts w:hint="eastAsia" w:ascii="宋体" w:hAnsi="宋体"/>
          <w:b/>
          <w:sz w:val="24"/>
          <w:szCs w:val="24"/>
          <w:lang w:val="zh-CN"/>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本次招标采用</w:t>
      </w:r>
      <w:r>
        <w:rPr>
          <w:rFonts w:ascii="Wingdings 2" w:hAnsi="Wingdings 2" w:cs="宋体"/>
          <w:sz w:val="24"/>
          <w:u w:val="single"/>
        </w:rPr>
        <w:t></w:t>
      </w:r>
      <w:r>
        <w:rPr>
          <w:rFonts w:hint="eastAsia" w:ascii="宋体" w:hAnsi="宋体" w:cs="宋体"/>
          <w:sz w:val="24"/>
          <w:u w:val="single"/>
        </w:rPr>
        <w:t>综合评估法</w:t>
      </w:r>
      <w:r>
        <w:rPr>
          <w:rFonts w:hint="eastAsia" w:ascii="宋体" w:hAnsi="宋体" w:cs="宋体"/>
          <w:sz w:val="24"/>
        </w:rPr>
        <w:t>，评标标准和方法详见招标文件第五、六章。</w:t>
      </w:r>
    </w:p>
    <w:p>
      <w:pPr>
        <w:spacing w:line="360" w:lineRule="auto"/>
        <w:contextualSpacing/>
        <w:rPr>
          <w:rFonts w:ascii="宋体" w:hAnsi="宋体"/>
          <w:b/>
          <w:sz w:val="24"/>
          <w:szCs w:val="24"/>
        </w:rPr>
      </w:pPr>
      <w:r>
        <w:rPr>
          <w:rFonts w:hint="eastAsia" w:ascii="宋体" w:hAnsi="宋体"/>
          <w:b/>
          <w:sz w:val="24"/>
          <w:szCs w:val="24"/>
        </w:rPr>
        <w:t>十、招标项目联系事项：</w:t>
      </w:r>
    </w:p>
    <w:p>
      <w:pPr>
        <w:spacing w:line="360" w:lineRule="auto"/>
        <w:ind w:firstLine="480" w:firstLineChars="200"/>
        <w:contextualSpacing/>
        <w:rPr>
          <w:rFonts w:ascii="宋体" w:hAnsi="宋体"/>
          <w:sz w:val="24"/>
          <w:szCs w:val="24"/>
        </w:rPr>
      </w:pPr>
      <w:r>
        <w:rPr>
          <w:rFonts w:hint="eastAsia" w:ascii="宋体" w:hAnsi="宋体"/>
          <w:sz w:val="24"/>
          <w:szCs w:val="24"/>
        </w:rPr>
        <w:t>（一）采购人联系人：</w:t>
      </w:r>
      <w:r>
        <w:rPr>
          <w:rFonts w:hint="eastAsia" w:ascii="宋体" w:hAnsi="宋体" w:cs="宋体"/>
          <w:kern w:val="0"/>
          <w:sz w:val="24"/>
          <w:u w:val="single"/>
        </w:rPr>
        <w:t xml:space="preserve"> 高俊燕  </w:t>
      </w:r>
      <w:r>
        <w:rPr>
          <w:rFonts w:hint="eastAsia" w:ascii="宋体" w:hAnsi="宋体"/>
          <w:sz w:val="24"/>
          <w:szCs w:val="24"/>
        </w:rPr>
        <w:t>，联系电话</w:t>
      </w:r>
      <w:r>
        <w:rPr>
          <w:rFonts w:hint="eastAsia" w:ascii="宋体" w:hAnsi="宋体" w:cs="宋体"/>
          <w:sz w:val="24"/>
          <w:szCs w:val="24"/>
        </w:rPr>
        <w:t>：</w:t>
      </w:r>
      <w:r>
        <w:rPr>
          <w:rFonts w:hint="eastAsia" w:ascii="宋体" w:hAnsi="宋体" w:cs="宋体"/>
          <w:sz w:val="24"/>
          <w:szCs w:val="24"/>
          <w:u w:val="single"/>
        </w:rPr>
        <w:t>0513-55087536</w:t>
      </w:r>
      <w:r>
        <w:rPr>
          <w:rFonts w:hint="eastAsia" w:ascii="宋体" w:hAnsi="宋体"/>
          <w:sz w:val="24"/>
          <w:szCs w:val="24"/>
        </w:rPr>
        <w:t>；</w:t>
      </w:r>
    </w:p>
    <w:p>
      <w:pPr>
        <w:numPr>
          <w:ilvl w:val="0"/>
          <w:numId w:val="2"/>
        </w:numPr>
        <w:spacing w:line="360" w:lineRule="auto"/>
        <w:ind w:firstLine="480" w:firstLineChars="200"/>
        <w:contextualSpacing/>
        <w:rPr>
          <w:rFonts w:ascii="宋体" w:hAnsi="宋体"/>
          <w:sz w:val="24"/>
          <w:szCs w:val="24"/>
        </w:rPr>
      </w:pPr>
      <w:r>
        <w:rPr>
          <w:rFonts w:hint="eastAsia" w:ascii="宋体" w:hAnsi="宋体"/>
          <w:sz w:val="24"/>
          <w:szCs w:val="24"/>
        </w:rPr>
        <w:t>招标代理机构：</w:t>
      </w:r>
      <w:r>
        <w:rPr>
          <w:rFonts w:hint="eastAsia" w:ascii="宋体" w:hAnsi="宋体"/>
          <w:sz w:val="24"/>
          <w:szCs w:val="24"/>
          <w:u w:val="single"/>
        </w:rPr>
        <w:t xml:space="preserve"> 南通城建工程项目管理有限公司    </w:t>
      </w:r>
      <w:r>
        <w:rPr>
          <w:rFonts w:hint="eastAsia" w:ascii="宋体" w:hAnsi="宋体"/>
          <w:sz w:val="24"/>
          <w:szCs w:val="24"/>
        </w:rPr>
        <w:t xml:space="preserve"> ， </w:t>
      </w:r>
    </w:p>
    <w:p>
      <w:pPr>
        <w:spacing w:line="360" w:lineRule="auto"/>
        <w:ind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顾莉玲   </w:t>
      </w:r>
      <w:r>
        <w:rPr>
          <w:rFonts w:hint="eastAsia" w:ascii="宋体" w:hAnsi="宋体"/>
          <w:sz w:val="24"/>
          <w:szCs w:val="24"/>
        </w:rPr>
        <w:t>联系电话：</w:t>
      </w:r>
      <w:r>
        <w:rPr>
          <w:rFonts w:hint="eastAsia" w:ascii="宋体" w:hAnsi="宋体"/>
          <w:sz w:val="24"/>
          <w:szCs w:val="24"/>
          <w:u w:val="single"/>
        </w:rPr>
        <w:t xml:space="preserve">   0513-85502599/18912268177   </w:t>
      </w:r>
      <w:r>
        <w:rPr>
          <w:rFonts w:hint="eastAsia"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对项目需求部分的询问、质疑请向采购人提出，询问、质疑由采购人负责答复。</w:t>
      </w:r>
    </w:p>
    <w:p>
      <w:pPr>
        <w:spacing w:line="360" w:lineRule="auto"/>
        <w:contextualSpacing/>
        <w:rPr>
          <w:rFonts w:ascii="宋体" w:hAnsi="宋体"/>
          <w:b/>
          <w:sz w:val="24"/>
          <w:szCs w:val="24"/>
        </w:rPr>
      </w:pPr>
      <w:r>
        <w:rPr>
          <w:rFonts w:hint="eastAsia" w:ascii="宋体" w:hAnsi="宋体"/>
          <w:b/>
          <w:sz w:val="24"/>
          <w:szCs w:val="24"/>
        </w:rPr>
        <w:t>十一</w:t>
      </w:r>
      <w:r>
        <w:rPr>
          <w:rFonts w:ascii="宋体" w:hAnsi="宋体"/>
          <w:b/>
          <w:sz w:val="24"/>
          <w:szCs w:val="24"/>
        </w:rPr>
        <w:t>、投标文件制作份数要求：</w:t>
      </w:r>
    </w:p>
    <w:p>
      <w:pPr>
        <w:spacing w:line="360" w:lineRule="auto"/>
        <w:ind w:firstLine="480" w:firstLineChars="200"/>
        <w:contextualSpacing/>
        <w:rPr>
          <w:rFonts w:hint="eastAsia" w:ascii="宋体" w:hAnsi="宋体"/>
          <w:sz w:val="24"/>
          <w:szCs w:val="24"/>
        </w:rPr>
      </w:pPr>
      <w:r>
        <w:rPr>
          <w:rFonts w:ascii="宋体" w:hAnsi="宋体"/>
          <w:sz w:val="24"/>
          <w:szCs w:val="24"/>
        </w:rPr>
        <w:t>纸质文件正本壹份</w:t>
      </w:r>
      <w:r>
        <w:rPr>
          <w:rFonts w:hint="eastAsia" w:ascii="宋体" w:hAnsi="宋体"/>
          <w:sz w:val="24"/>
          <w:szCs w:val="24"/>
        </w:rPr>
        <w:t>、副本贰份。</w:t>
      </w:r>
    </w:p>
    <w:p>
      <w:pPr>
        <w:spacing w:line="360" w:lineRule="auto"/>
        <w:ind w:left="472" w:hanging="472" w:hangingChars="196"/>
        <w:contextualSpacing/>
        <w:rPr>
          <w:rFonts w:hint="eastAsia" w:ascii="宋体" w:hAnsi="宋体"/>
          <w:b/>
          <w:sz w:val="24"/>
          <w:szCs w:val="24"/>
        </w:rPr>
      </w:pPr>
      <w:r>
        <w:rPr>
          <w:rFonts w:hint="eastAsia" w:ascii="宋体" w:hAnsi="宋体"/>
          <w:b/>
          <w:sz w:val="24"/>
          <w:szCs w:val="24"/>
        </w:rPr>
        <w:t>十二、</w:t>
      </w:r>
      <w:r>
        <w:rPr>
          <w:rFonts w:ascii="宋体" w:hAnsi="宋体"/>
          <w:b/>
          <w:sz w:val="24"/>
          <w:szCs w:val="24"/>
        </w:rPr>
        <w:t>投标截止时间结束后参加投标的投标单位不足三家的处理：</w:t>
      </w:r>
    </w:p>
    <w:p>
      <w:pPr>
        <w:spacing w:line="360" w:lineRule="auto"/>
        <w:ind w:firstLine="480" w:firstLineChars="200"/>
        <w:contextualSpacing/>
        <w:rPr>
          <w:rFonts w:hint="eastAsia" w:ascii="宋体" w:hAnsi="宋体"/>
          <w:sz w:val="24"/>
          <w:szCs w:val="24"/>
        </w:rPr>
      </w:pPr>
      <w:r>
        <w:rPr>
          <w:rFonts w:hint="eastAsia" w:ascii="宋体" w:hAnsi="宋体"/>
          <w:sz w:val="24"/>
          <w:szCs w:val="24"/>
        </w:rPr>
        <w:t>1、</w:t>
      </w:r>
      <w:r>
        <w:rPr>
          <w:rFonts w:ascii="宋体" w:hAnsi="宋体"/>
          <w:sz w:val="24"/>
          <w:szCs w:val="24"/>
        </w:rPr>
        <w:t>本项目为第</w:t>
      </w:r>
      <w:r>
        <w:rPr>
          <w:rFonts w:hint="eastAsia" w:ascii="宋体" w:hAnsi="宋体"/>
          <w:sz w:val="24"/>
          <w:szCs w:val="24"/>
        </w:rPr>
        <w:t>二</w:t>
      </w:r>
      <w:r>
        <w:rPr>
          <w:rFonts w:ascii="宋体" w:hAnsi="宋体"/>
          <w:sz w:val="24"/>
          <w:szCs w:val="24"/>
        </w:rPr>
        <w:t>次招标，若参加本次投标的有效投标单位3家及以上的，继续进行评标程序</w:t>
      </w:r>
      <w:r>
        <w:rPr>
          <w:rFonts w:hint="eastAsia" w:ascii="宋体" w:hAnsi="宋体"/>
          <w:sz w:val="24"/>
          <w:szCs w:val="24"/>
        </w:rPr>
        <w:t>。</w:t>
      </w:r>
    </w:p>
    <w:p>
      <w:pPr>
        <w:spacing w:line="360" w:lineRule="auto"/>
        <w:ind w:firstLine="470" w:firstLineChars="195"/>
        <w:contextualSpacing/>
        <w:rPr>
          <w:rFonts w:hint="eastAsia" w:ascii="宋体" w:hAnsi="宋体"/>
          <w:sz w:val="24"/>
          <w:szCs w:val="24"/>
        </w:rPr>
      </w:pPr>
      <w:r>
        <w:rPr>
          <w:rFonts w:hint="eastAsia" w:ascii="宋体" w:hAnsi="宋体"/>
          <w:b/>
          <w:sz w:val="24"/>
          <w:szCs w:val="24"/>
        </w:rPr>
        <w:t>2、</w:t>
      </w:r>
      <w:r>
        <w:rPr>
          <w:rFonts w:ascii="宋体" w:hAnsi="宋体"/>
          <w:sz w:val="24"/>
          <w:szCs w:val="24"/>
        </w:rPr>
        <w:t>若参加本次投标的有效投标单位不足3</w:t>
      </w:r>
      <w:r>
        <w:rPr>
          <w:rFonts w:hint="eastAsia" w:ascii="宋体" w:hAnsi="宋体"/>
          <w:sz w:val="24"/>
          <w:szCs w:val="24"/>
        </w:rPr>
        <w:t>家</w:t>
      </w:r>
      <w:r>
        <w:rPr>
          <w:rFonts w:ascii="宋体" w:hAnsi="宋体"/>
          <w:sz w:val="24"/>
          <w:szCs w:val="24"/>
        </w:rPr>
        <w:t>，则本次招投标流标。根据相关法律法规现场变更招标方式，若只有两家投标单位</w:t>
      </w:r>
      <w:r>
        <w:rPr>
          <w:rFonts w:hint="eastAsia" w:ascii="宋体" w:hAnsi="宋体"/>
          <w:sz w:val="24"/>
          <w:szCs w:val="24"/>
        </w:rPr>
        <w:t>则现场调整招标方式，以</w:t>
      </w:r>
      <w:r>
        <w:rPr>
          <w:rFonts w:ascii="宋体" w:hAnsi="宋体"/>
          <w:sz w:val="24"/>
          <w:szCs w:val="24"/>
        </w:rPr>
        <w:t>竞争性谈判方式确定中标候选人</w:t>
      </w:r>
      <w:r>
        <w:rPr>
          <w:rFonts w:hint="eastAsia" w:ascii="宋体" w:hAnsi="宋体"/>
          <w:sz w:val="24"/>
          <w:szCs w:val="24"/>
        </w:rPr>
        <w:t>，</w:t>
      </w:r>
      <w:r>
        <w:rPr>
          <w:rFonts w:ascii="宋体" w:hAnsi="宋体"/>
          <w:sz w:val="24"/>
          <w:szCs w:val="24"/>
        </w:rPr>
        <w:t>程序如下：</w:t>
      </w:r>
    </w:p>
    <w:p>
      <w:pPr>
        <w:spacing w:line="360" w:lineRule="auto"/>
        <w:ind w:firstLine="468" w:firstLineChars="195"/>
        <w:contextualSpacing/>
        <w:rPr>
          <w:rFonts w:hint="eastAsia" w:ascii="宋体" w:hAnsi="宋体"/>
          <w:sz w:val="24"/>
          <w:szCs w:val="24"/>
        </w:rPr>
      </w:pPr>
      <w:r>
        <w:rPr>
          <w:rFonts w:ascii="宋体" w:hAnsi="宋体"/>
          <w:sz w:val="24"/>
          <w:szCs w:val="24"/>
        </w:rPr>
        <w:t>采取两轮报价。①拆封投标人商务标并唱标，唱标结果为有效报价的作为第一轮报价。②本项目报价第二轮不得高于第一轮报价；经评标委员会评审，有效报价中最低报价的为第一中标候选人。</w:t>
      </w:r>
    </w:p>
    <w:p>
      <w:pPr>
        <w:spacing w:line="360" w:lineRule="auto"/>
        <w:ind w:firstLine="468" w:firstLineChars="195"/>
        <w:contextualSpacing/>
        <w:rPr>
          <w:rFonts w:ascii="宋体" w:hAnsi="宋体"/>
          <w:sz w:val="24"/>
          <w:szCs w:val="24"/>
        </w:rPr>
      </w:pPr>
      <w:r>
        <w:rPr>
          <w:rFonts w:hint="eastAsia" w:ascii="宋体" w:hAnsi="宋体"/>
          <w:sz w:val="24"/>
          <w:szCs w:val="24"/>
        </w:rPr>
        <w:t>3、</w:t>
      </w:r>
      <w:r>
        <w:rPr>
          <w:rFonts w:ascii="宋体" w:hAnsi="宋体"/>
          <w:sz w:val="24"/>
          <w:szCs w:val="24"/>
        </w:rPr>
        <w:t>若只有一家投标单位则</w:t>
      </w:r>
      <w:r>
        <w:rPr>
          <w:rFonts w:hint="eastAsia" w:ascii="宋体" w:hAnsi="宋体"/>
          <w:sz w:val="24"/>
          <w:szCs w:val="24"/>
        </w:rPr>
        <w:t>直接与投标单位谈判，</w:t>
      </w:r>
      <w:r>
        <w:rPr>
          <w:rFonts w:ascii="宋体" w:hAnsi="宋体"/>
          <w:sz w:val="24"/>
          <w:szCs w:val="24"/>
        </w:rPr>
        <w:t>程序如下：</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采取两轮报价。①拆封投标人商务标并唱标，唱标结果为有效报价的作为第一轮报价。②本项目报价第二轮不得高于第一轮报价；第二轮有效报价为最终报价。</w:t>
      </w:r>
    </w:p>
    <w:p>
      <w:pPr>
        <w:spacing w:line="360" w:lineRule="auto"/>
        <w:contextualSpacing/>
        <w:rPr>
          <w:rFonts w:ascii="宋体" w:hAnsi="宋体"/>
          <w:sz w:val="24"/>
          <w:szCs w:val="24"/>
        </w:rPr>
      </w:pPr>
    </w:p>
    <w:p>
      <w:pPr>
        <w:spacing w:line="360" w:lineRule="auto"/>
        <w:contextualSpacing/>
        <w:rPr>
          <w:rFonts w:ascii="宋体" w:hAnsi="宋体"/>
          <w:sz w:val="24"/>
          <w:szCs w:val="24"/>
        </w:rPr>
      </w:pPr>
    </w:p>
    <w:p>
      <w:pPr>
        <w:spacing w:line="360" w:lineRule="auto"/>
        <w:ind w:firstLine="480" w:firstLineChars="200"/>
        <w:contextualSpacing/>
        <w:jc w:val="right"/>
        <w:rPr>
          <w:rFonts w:ascii="宋体" w:hAnsi="宋体"/>
          <w:sz w:val="24"/>
          <w:szCs w:val="24"/>
        </w:rPr>
      </w:pPr>
      <w:r>
        <w:rPr>
          <w:rFonts w:hint="eastAsia" w:ascii="宋体" w:hAnsi="宋体"/>
          <w:sz w:val="24"/>
          <w:szCs w:val="24"/>
        </w:rPr>
        <w:t>采购人：南通农副产品物流有限公司</w:t>
      </w:r>
    </w:p>
    <w:p>
      <w:pPr>
        <w:spacing w:line="360" w:lineRule="auto"/>
        <w:ind w:firstLine="480" w:firstLineChars="200"/>
        <w:contextualSpacing/>
        <w:jc w:val="right"/>
        <w:rPr>
          <w:rFonts w:ascii="宋体" w:hAnsi="宋体"/>
          <w:sz w:val="24"/>
          <w:szCs w:val="24"/>
        </w:rPr>
      </w:pPr>
      <w:r>
        <w:rPr>
          <w:rFonts w:hint="eastAsia" w:ascii="宋体" w:hAnsi="宋体"/>
          <w:sz w:val="24"/>
          <w:szCs w:val="24"/>
          <w:highlight w:val="none"/>
        </w:rPr>
        <w:t>2020年5月2</w:t>
      </w:r>
      <w:r>
        <w:rPr>
          <w:rFonts w:hint="eastAsia" w:ascii="宋体" w:hAnsi="宋体"/>
          <w:sz w:val="24"/>
          <w:szCs w:val="24"/>
          <w:highlight w:val="none"/>
          <w:lang w:val="en-US" w:eastAsia="zh-CN"/>
        </w:rPr>
        <w:t>8</w:t>
      </w:r>
      <w:r>
        <w:rPr>
          <w:rFonts w:hint="eastAsia" w:ascii="宋体" w:hAnsi="宋体"/>
          <w:sz w:val="24"/>
          <w:szCs w:val="24"/>
          <w:highlight w:val="none"/>
        </w:rPr>
        <w:t>日</w:t>
      </w:r>
    </w:p>
    <w:bookmarkEnd w:id="0"/>
    <w:bookmarkEnd w:id="7"/>
    <w:p>
      <w:pPr>
        <w:spacing w:line="360" w:lineRule="auto"/>
        <w:ind w:right="840" w:firstLine="480" w:firstLineChars="200"/>
        <w:contextualSpacing/>
        <w:rPr>
          <w:rFonts w:ascii="宋体" w:hAnsi="宋体"/>
          <w:sz w:val="24"/>
          <w:szCs w:val="24"/>
        </w:rPr>
      </w:pPr>
      <w:bookmarkStart w:id="13" w:name="_Toc120614211"/>
      <w:bookmarkStart w:id="14" w:name="_Toc479962290"/>
    </w:p>
    <w:p>
      <w:pPr>
        <w:snapToGrid w:val="0"/>
        <w:spacing w:line="360" w:lineRule="auto"/>
        <w:jc w:val="center"/>
        <w:rPr>
          <w:rFonts w:ascii="宋体" w:hAnsi="宋体"/>
          <w:b/>
          <w:sz w:val="32"/>
          <w:szCs w:val="32"/>
        </w:rPr>
      </w:pPr>
      <w:r>
        <w:rPr>
          <w:rFonts w:ascii="宋体" w:hAnsi="宋体"/>
          <w:sz w:val="44"/>
          <w:szCs w:val="44"/>
        </w:rPr>
        <w:br w:type="page"/>
      </w:r>
      <w:r>
        <w:rPr>
          <w:rFonts w:hint="eastAsia" w:ascii="宋体" w:hAnsi="宋体"/>
          <w:b/>
          <w:sz w:val="32"/>
          <w:szCs w:val="32"/>
        </w:rPr>
        <w:t xml:space="preserve">第二章  </w:t>
      </w:r>
      <w:bookmarkEnd w:id="1"/>
      <w:bookmarkEnd w:id="2"/>
      <w:bookmarkEnd w:id="3"/>
      <w:bookmarkEnd w:id="4"/>
      <w:bookmarkEnd w:id="5"/>
      <w:bookmarkEnd w:id="13"/>
      <w:bookmarkStart w:id="15" w:name="_Toc120614213"/>
      <w:bookmarkStart w:id="16" w:name="_Toc20823274"/>
      <w:bookmarkStart w:id="17" w:name="_Toc513029202"/>
      <w:bookmarkStart w:id="18" w:name="_Toc16938518"/>
      <w:r>
        <w:rPr>
          <w:rFonts w:hint="eastAsia" w:ascii="宋体" w:hAnsi="宋体"/>
          <w:b/>
          <w:sz w:val="32"/>
          <w:szCs w:val="32"/>
        </w:rPr>
        <w:t xml:space="preserve"> 投标人须知</w:t>
      </w:r>
      <w:bookmarkEnd w:id="14"/>
      <w:bookmarkEnd w:id="15"/>
      <w:bookmarkEnd w:id="16"/>
      <w:bookmarkEnd w:id="17"/>
      <w:bookmarkEnd w:id="18"/>
    </w:p>
    <w:p>
      <w:pPr>
        <w:snapToGrid w:val="0"/>
        <w:spacing w:line="360" w:lineRule="auto"/>
        <w:jc w:val="center"/>
        <w:outlineLvl w:val="1"/>
        <w:rPr>
          <w:rFonts w:ascii="宋体" w:hAnsi="宋体"/>
          <w:b/>
          <w:sz w:val="30"/>
          <w:szCs w:val="30"/>
        </w:rPr>
      </w:pPr>
      <w:bookmarkStart w:id="19" w:name="_Toc20823275"/>
      <w:bookmarkStart w:id="20" w:name="_Toc16938519"/>
      <w:bookmarkStart w:id="21" w:name="_Toc513029203"/>
      <w:bookmarkStart w:id="22" w:name="_Toc120614214"/>
      <w:r>
        <w:rPr>
          <w:rFonts w:hint="eastAsia" w:ascii="宋体" w:hAnsi="宋体"/>
          <w:b/>
          <w:sz w:val="30"/>
          <w:szCs w:val="30"/>
        </w:rPr>
        <w:t xml:space="preserve"> 一、总  则</w:t>
      </w:r>
      <w:bookmarkEnd w:id="19"/>
      <w:bookmarkEnd w:id="20"/>
      <w:bookmarkEnd w:id="21"/>
      <w:bookmarkEnd w:id="22"/>
    </w:p>
    <w:p>
      <w:pPr>
        <w:pStyle w:val="111"/>
        <w:snapToGrid w:val="0"/>
        <w:spacing w:line="360" w:lineRule="auto"/>
        <w:ind w:firstLine="211" w:firstLineChars="100"/>
        <w:rPr>
          <w:sz w:val="21"/>
          <w:szCs w:val="21"/>
        </w:rPr>
      </w:pPr>
      <w:bookmarkStart w:id="23" w:name="_Hlt16619475"/>
      <w:bookmarkEnd w:id="23"/>
      <w:bookmarkStart w:id="24" w:name="_Toc458694821"/>
      <w:bookmarkStart w:id="25" w:name="_Toc16938520"/>
      <w:bookmarkStart w:id="26" w:name="_Toc513029204"/>
      <w:bookmarkStart w:id="27" w:name="_Toc20823276"/>
      <w:r>
        <w:rPr>
          <w:rFonts w:hint="eastAsia"/>
          <w:sz w:val="21"/>
          <w:szCs w:val="21"/>
        </w:rPr>
        <w:t>1</w:t>
      </w:r>
      <w:bookmarkEnd w:id="24"/>
      <w:r>
        <w:rPr>
          <w:rFonts w:hint="eastAsia"/>
          <w:sz w:val="21"/>
          <w:szCs w:val="21"/>
        </w:rPr>
        <w:t>、招标方式</w:t>
      </w:r>
      <w:bookmarkEnd w:id="25"/>
      <w:bookmarkEnd w:id="26"/>
      <w:bookmarkEnd w:id="27"/>
    </w:p>
    <w:p>
      <w:pPr>
        <w:snapToGrid w:val="0"/>
        <w:spacing w:line="360" w:lineRule="auto"/>
        <w:ind w:firstLine="630" w:firstLineChars="300"/>
        <w:rPr>
          <w:rFonts w:ascii="宋体" w:hAnsi="宋体"/>
        </w:rPr>
      </w:pPr>
      <w:r>
        <w:rPr>
          <w:rFonts w:hint="eastAsia" w:ascii="宋体" w:hAnsi="宋体"/>
        </w:rPr>
        <w:t>1.1 本次招标采取</w:t>
      </w:r>
      <w:r>
        <w:rPr>
          <w:rFonts w:hint="eastAsia" w:ascii="宋体" w:hAnsi="宋体"/>
          <w:b/>
        </w:rPr>
        <w:t>公开招标</w:t>
      </w:r>
      <w:r>
        <w:rPr>
          <w:rFonts w:hint="eastAsia" w:ascii="宋体" w:hAnsi="宋体"/>
        </w:rPr>
        <w:t>方式，本招标文件仅适用于招标公告中所述项目。</w:t>
      </w:r>
    </w:p>
    <w:p>
      <w:pPr>
        <w:pStyle w:val="111"/>
        <w:snapToGrid w:val="0"/>
        <w:spacing w:line="360" w:lineRule="auto"/>
        <w:ind w:firstLine="211" w:firstLineChars="100"/>
        <w:rPr>
          <w:sz w:val="21"/>
          <w:szCs w:val="21"/>
        </w:rPr>
      </w:pPr>
      <w:bookmarkStart w:id="28" w:name="_Toc513029205"/>
      <w:bookmarkStart w:id="29" w:name="_Toc16938521"/>
      <w:bookmarkStart w:id="30" w:name="_Toc20823277"/>
      <w:r>
        <w:rPr>
          <w:rFonts w:hint="eastAsia"/>
          <w:sz w:val="21"/>
          <w:szCs w:val="21"/>
        </w:rPr>
        <w:t>2、合格的投标人</w:t>
      </w:r>
      <w:bookmarkEnd w:id="28"/>
      <w:bookmarkEnd w:id="29"/>
      <w:bookmarkEnd w:id="30"/>
    </w:p>
    <w:p>
      <w:pPr>
        <w:snapToGrid w:val="0"/>
        <w:spacing w:line="360" w:lineRule="auto"/>
        <w:ind w:firstLine="630" w:firstLineChars="300"/>
        <w:rPr>
          <w:rFonts w:ascii="宋体" w:hAnsi="宋体"/>
        </w:rPr>
      </w:pPr>
      <w:r>
        <w:rPr>
          <w:rFonts w:hint="eastAsia" w:ascii="宋体" w:hAnsi="宋体"/>
        </w:rPr>
        <w:t>2.1满足招标公告中供应商的资格要求的规定。</w:t>
      </w:r>
    </w:p>
    <w:p>
      <w:pPr>
        <w:snapToGrid w:val="0"/>
        <w:spacing w:line="360" w:lineRule="auto"/>
        <w:ind w:firstLine="630" w:firstLineChars="300"/>
        <w:rPr>
          <w:rFonts w:ascii="宋体" w:hAnsi="宋体"/>
        </w:rPr>
      </w:pPr>
      <w:r>
        <w:rPr>
          <w:rFonts w:hint="eastAsia" w:ascii="宋体" w:hAnsi="宋体"/>
        </w:rPr>
        <w:t>2.2 满足本文件实质性条款的规定。</w:t>
      </w:r>
    </w:p>
    <w:p>
      <w:pPr>
        <w:pStyle w:val="111"/>
        <w:snapToGrid w:val="0"/>
        <w:spacing w:line="360" w:lineRule="auto"/>
        <w:ind w:firstLine="211" w:firstLineChars="100"/>
        <w:rPr>
          <w:sz w:val="21"/>
          <w:szCs w:val="21"/>
        </w:rPr>
      </w:pPr>
      <w:bookmarkStart w:id="31" w:name="_Toc16938522"/>
      <w:bookmarkStart w:id="32" w:name="_Toc20823278"/>
      <w:bookmarkStart w:id="33" w:name="_Toc513029206"/>
      <w:r>
        <w:rPr>
          <w:rFonts w:hint="eastAsia"/>
          <w:sz w:val="21"/>
          <w:szCs w:val="21"/>
        </w:rPr>
        <w:t>3、适用法律</w:t>
      </w:r>
      <w:bookmarkEnd w:id="31"/>
      <w:bookmarkEnd w:id="32"/>
      <w:bookmarkEnd w:id="33"/>
    </w:p>
    <w:p>
      <w:pPr>
        <w:snapToGrid w:val="0"/>
        <w:spacing w:line="360" w:lineRule="auto"/>
        <w:ind w:firstLine="630" w:firstLineChars="300"/>
        <w:rPr>
          <w:rFonts w:ascii="宋体" w:hAnsi="宋体"/>
        </w:rPr>
      </w:pPr>
      <w:r>
        <w:rPr>
          <w:rFonts w:hint="eastAsia" w:ascii="宋体" w:hAnsi="宋体"/>
        </w:rPr>
        <w:t>3.1 本次招标及由此产生的合同受中华人民共和国有关的法律法规制约和保护</w:t>
      </w:r>
      <w:r>
        <w:rPr>
          <w:rFonts w:ascii="宋体" w:hAnsi="宋体"/>
        </w:rPr>
        <w:t>。</w:t>
      </w:r>
    </w:p>
    <w:p>
      <w:pPr>
        <w:pStyle w:val="111"/>
        <w:snapToGrid w:val="0"/>
        <w:spacing w:line="360" w:lineRule="auto"/>
        <w:ind w:firstLine="211" w:firstLineChars="100"/>
        <w:rPr>
          <w:sz w:val="21"/>
          <w:szCs w:val="21"/>
        </w:rPr>
      </w:pPr>
      <w:bookmarkStart w:id="34" w:name="_Toc20823279"/>
      <w:bookmarkStart w:id="35" w:name="_Toc16938523"/>
      <w:bookmarkStart w:id="36" w:name="_Toc462564067"/>
      <w:bookmarkStart w:id="37" w:name="_Toc513029207"/>
      <w:r>
        <w:rPr>
          <w:rFonts w:hint="eastAsia"/>
          <w:sz w:val="21"/>
          <w:szCs w:val="21"/>
        </w:rPr>
        <w:t>4、投标费用</w:t>
      </w:r>
      <w:bookmarkEnd w:id="34"/>
      <w:bookmarkEnd w:id="35"/>
      <w:bookmarkEnd w:id="36"/>
      <w:bookmarkEnd w:id="37"/>
    </w:p>
    <w:p>
      <w:pPr>
        <w:snapToGrid w:val="0"/>
        <w:spacing w:line="360" w:lineRule="auto"/>
        <w:ind w:left="210" w:leftChars="100" w:firstLine="315" w:firstLineChars="150"/>
        <w:rPr>
          <w:rFonts w:ascii="宋体" w:hAnsi="宋体"/>
        </w:rPr>
      </w:pPr>
      <w:r>
        <w:rPr>
          <w:rFonts w:hint="eastAsia" w:ascii="宋体" w:hAnsi="宋体"/>
        </w:rPr>
        <w:t>4.1投标人应承担其编制投标文件以及递交投标文件所涉及的一切费用，</w:t>
      </w:r>
      <w:r>
        <w:rPr>
          <w:rFonts w:hint="eastAsia" w:ascii="宋体" w:hAnsi="宋体"/>
          <w:b/>
        </w:rPr>
        <w:t>招标文件每套售价300元(现金)，投标人在递交投标文件同时递交。</w:t>
      </w:r>
      <w:r>
        <w:rPr>
          <w:rFonts w:hint="eastAsia" w:ascii="宋体" w:hAnsi="宋体"/>
        </w:rPr>
        <w:t>无论投标结果如何，采购人对上述费用不负任何责任。</w:t>
      </w:r>
    </w:p>
    <w:p>
      <w:pPr>
        <w:pStyle w:val="111"/>
        <w:snapToGrid w:val="0"/>
        <w:spacing w:line="360" w:lineRule="auto"/>
        <w:ind w:firstLine="211" w:firstLineChars="100"/>
        <w:rPr>
          <w:sz w:val="21"/>
          <w:szCs w:val="21"/>
        </w:rPr>
      </w:pPr>
      <w:r>
        <w:rPr>
          <w:rFonts w:hint="eastAsia"/>
          <w:sz w:val="21"/>
          <w:szCs w:val="21"/>
        </w:rPr>
        <w:t>5、招标文件的约束力</w:t>
      </w:r>
    </w:p>
    <w:p>
      <w:pPr>
        <w:snapToGrid w:val="0"/>
        <w:spacing w:line="360" w:lineRule="auto"/>
        <w:ind w:left="210" w:leftChars="100" w:firstLine="315" w:firstLineChars="150"/>
        <w:rPr>
          <w:rFonts w:ascii="宋体" w:hAnsi="宋体"/>
        </w:rPr>
      </w:pPr>
      <w:r>
        <w:rPr>
          <w:rFonts w:hint="eastAsia" w:ascii="宋体" w:hAnsi="宋体"/>
        </w:rPr>
        <w:t>5.1 投标人一旦参加本项目采购活动，即被认为接受了本招标文件的规定和约束并且视为自招标公告期限届满之日起知道或应当知道自身权益是否受到了损害。</w:t>
      </w:r>
    </w:p>
    <w:p>
      <w:pPr>
        <w:snapToGrid w:val="0"/>
        <w:spacing w:line="360" w:lineRule="auto"/>
        <w:ind w:firstLine="525" w:firstLineChars="250"/>
        <w:rPr>
          <w:rFonts w:ascii="宋体" w:hAnsi="宋体"/>
        </w:rPr>
      </w:pPr>
      <w:r>
        <w:rPr>
          <w:rFonts w:hint="eastAsia" w:ascii="宋体" w:hAnsi="宋体"/>
          <w:bCs/>
        </w:rPr>
        <w:t>5.2</w:t>
      </w:r>
      <w:r>
        <w:rPr>
          <w:rFonts w:hint="eastAsia" w:ascii="宋体" w:hAnsi="宋体"/>
        </w:rPr>
        <w:t>本招标文件由代理机构负责解释。</w:t>
      </w:r>
    </w:p>
    <w:p>
      <w:pPr>
        <w:snapToGrid w:val="0"/>
        <w:spacing w:line="360" w:lineRule="auto"/>
        <w:ind w:firstLine="601"/>
        <w:jc w:val="center"/>
        <w:outlineLvl w:val="1"/>
        <w:rPr>
          <w:rFonts w:ascii="宋体" w:hAnsi="宋体"/>
          <w:b/>
          <w:sz w:val="30"/>
          <w:szCs w:val="30"/>
        </w:rPr>
      </w:pPr>
      <w:bookmarkStart w:id="38" w:name="_Toc20823281"/>
      <w:bookmarkStart w:id="39" w:name="_Toc16938525"/>
      <w:bookmarkStart w:id="40" w:name="_Toc513029209"/>
      <w:bookmarkStart w:id="41" w:name="_Toc120614215"/>
      <w:r>
        <w:rPr>
          <w:rFonts w:hint="eastAsia" w:ascii="宋体" w:hAnsi="宋体"/>
          <w:b/>
          <w:sz w:val="30"/>
          <w:szCs w:val="30"/>
        </w:rPr>
        <w:t>二、招标文件</w:t>
      </w:r>
      <w:bookmarkEnd w:id="38"/>
      <w:bookmarkEnd w:id="39"/>
      <w:bookmarkEnd w:id="40"/>
      <w:bookmarkEnd w:id="41"/>
    </w:p>
    <w:p>
      <w:pPr>
        <w:pStyle w:val="111"/>
        <w:snapToGrid w:val="0"/>
        <w:spacing w:line="360" w:lineRule="auto"/>
        <w:ind w:firstLine="316" w:firstLineChars="150"/>
        <w:rPr>
          <w:sz w:val="21"/>
          <w:szCs w:val="21"/>
        </w:rPr>
      </w:pPr>
      <w:bookmarkStart w:id="42" w:name="_Toc16938526"/>
      <w:bookmarkStart w:id="43" w:name="_Toc20823282"/>
      <w:bookmarkStart w:id="44" w:name="_Toc513029210"/>
      <w:r>
        <w:rPr>
          <w:rFonts w:hint="eastAsia"/>
          <w:sz w:val="21"/>
          <w:szCs w:val="21"/>
        </w:rPr>
        <w:t>6、招标文件构成</w:t>
      </w:r>
      <w:bookmarkEnd w:id="42"/>
      <w:bookmarkEnd w:id="43"/>
      <w:bookmarkEnd w:id="44"/>
    </w:p>
    <w:p>
      <w:pPr>
        <w:snapToGrid w:val="0"/>
        <w:spacing w:line="360" w:lineRule="auto"/>
        <w:ind w:firstLine="525" w:firstLineChars="250"/>
        <w:rPr>
          <w:rFonts w:ascii="宋体" w:hAnsi="宋体"/>
        </w:rPr>
      </w:pPr>
      <w:r>
        <w:rPr>
          <w:rFonts w:hint="eastAsia" w:ascii="宋体" w:hAnsi="宋体"/>
          <w:bCs/>
        </w:rPr>
        <w:t>6.1</w:t>
      </w:r>
      <w:r>
        <w:rPr>
          <w:rFonts w:hint="eastAsia" w:ascii="宋体" w:hAnsi="宋体"/>
        </w:rPr>
        <w:t xml:space="preserve"> 招标文件由以下部分组成：</w:t>
      </w:r>
    </w:p>
    <w:p>
      <w:pPr>
        <w:snapToGrid w:val="0"/>
        <w:spacing w:line="360" w:lineRule="auto"/>
        <w:ind w:firstLine="420" w:firstLineChars="200"/>
        <w:rPr>
          <w:rFonts w:ascii="宋体" w:hAnsi="宋体"/>
        </w:rPr>
      </w:pPr>
      <w:r>
        <w:rPr>
          <w:rFonts w:hint="eastAsia" w:ascii="宋体" w:hAnsi="宋体"/>
        </w:rPr>
        <w:t>（1）招标公告</w:t>
      </w:r>
    </w:p>
    <w:p>
      <w:pPr>
        <w:snapToGrid w:val="0"/>
        <w:spacing w:line="360" w:lineRule="auto"/>
        <w:ind w:firstLine="420" w:firstLineChars="200"/>
        <w:rPr>
          <w:rFonts w:ascii="宋体" w:hAnsi="宋体"/>
        </w:rPr>
      </w:pPr>
      <w:r>
        <w:rPr>
          <w:rFonts w:hint="eastAsia" w:ascii="宋体" w:hAnsi="宋体"/>
        </w:rPr>
        <w:t>（2）投标人须知</w:t>
      </w:r>
    </w:p>
    <w:p>
      <w:pPr>
        <w:snapToGrid w:val="0"/>
        <w:spacing w:line="360" w:lineRule="auto"/>
        <w:ind w:firstLine="420" w:firstLineChars="200"/>
        <w:rPr>
          <w:rFonts w:ascii="宋体" w:hAnsi="宋体"/>
        </w:rPr>
      </w:pPr>
      <w:r>
        <w:rPr>
          <w:rFonts w:hint="eastAsia" w:ascii="宋体" w:hAnsi="宋体"/>
        </w:rPr>
        <w:t>（3）合同条款及格式</w:t>
      </w:r>
    </w:p>
    <w:p>
      <w:pPr>
        <w:snapToGrid w:val="0"/>
        <w:spacing w:line="360" w:lineRule="auto"/>
        <w:ind w:firstLine="420" w:firstLineChars="200"/>
        <w:rPr>
          <w:rFonts w:ascii="宋体" w:hAnsi="宋体"/>
        </w:rPr>
      </w:pPr>
      <w:r>
        <w:rPr>
          <w:rFonts w:hint="eastAsia" w:ascii="宋体" w:hAnsi="宋体"/>
        </w:rPr>
        <w:t>（4）项目需求</w:t>
      </w:r>
    </w:p>
    <w:p>
      <w:pPr>
        <w:snapToGrid w:val="0"/>
        <w:spacing w:line="360" w:lineRule="auto"/>
        <w:ind w:firstLine="420" w:firstLineChars="200"/>
        <w:rPr>
          <w:rFonts w:ascii="宋体" w:hAnsi="宋体"/>
        </w:rPr>
      </w:pPr>
      <w:r>
        <w:rPr>
          <w:rFonts w:hint="eastAsia" w:ascii="宋体" w:hAnsi="宋体"/>
        </w:rPr>
        <w:t>（5）资格审查</w:t>
      </w:r>
    </w:p>
    <w:p>
      <w:pPr>
        <w:snapToGrid w:val="0"/>
        <w:spacing w:line="360" w:lineRule="auto"/>
        <w:ind w:firstLine="420" w:firstLineChars="200"/>
        <w:rPr>
          <w:rFonts w:ascii="宋体" w:hAnsi="宋体"/>
        </w:rPr>
      </w:pPr>
      <w:r>
        <w:rPr>
          <w:rFonts w:hint="eastAsia" w:ascii="宋体" w:hAnsi="宋体"/>
        </w:rPr>
        <w:t>（6）评标办法</w:t>
      </w:r>
    </w:p>
    <w:p>
      <w:pPr>
        <w:snapToGrid w:val="0"/>
        <w:spacing w:line="360" w:lineRule="auto"/>
        <w:ind w:firstLine="420" w:firstLineChars="200"/>
        <w:rPr>
          <w:rFonts w:ascii="宋体" w:hAnsi="宋体"/>
        </w:rPr>
      </w:pPr>
      <w:r>
        <w:rPr>
          <w:rFonts w:hint="eastAsia" w:ascii="宋体" w:hAnsi="宋体"/>
        </w:rPr>
        <w:t>（7）投标文件格式</w:t>
      </w:r>
    </w:p>
    <w:p>
      <w:pPr>
        <w:snapToGrid w:val="0"/>
        <w:spacing w:line="360" w:lineRule="auto"/>
        <w:ind w:firstLine="525" w:firstLineChars="250"/>
        <w:rPr>
          <w:rFonts w:ascii="宋体" w:hAnsi="宋体"/>
        </w:rPr>
      </w:pPr>
      <w:r>
        <w:rPr>
          <w:rFonts w:hint="eastAsia" w:ascii="宋体" w:hAnsi="宋体"/>
        </w:rPr>
        <w:t>请仔细检查招标文件是否齐全，如有缺漏请立即与代理机构联系解决。</w:t>
      </w:r>
    </w:p>
    <w:p>
      <w:pPr>
        <w:snapToGrid w:val="0"/>
        <w:spacing w:line="360" w:lineRule="auto"/>
        <w:ind w:firstLine="420" w:firstLineChars="200"/>
        <w:rPr>
          <w:rFonts w:ascii="宋体" w:hAnsi="宋体"/>
        </w:rPr>
      </w:pPr>
      <w:r>
        <w:rPr>
          <w:rFonts w:hint="eastAsia" w:ascii="宋体" w:hAnsi="宋体"/>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11"/>
        <w:snapToGrid w:val="0"/>
        <w:spacing w:line="360" w:lineRule="auto"/>
        <w:rPr>
          <w:sz w:val="21"/>
          <w:szCs w:val="21"/>
        </w:rPr>
      </w:pPr>
      <w:bookmarkStart w:id="45" w:name="_Toc20823283"/>
      <w:bookmarkStart w:id="46" w:name="_Toc462564070"/>
      <w:bookmarkStart w:id="47" w:name="_Toc16938527"/>
      <w:bookmarkStart w:id="48" w:name="_Toc513029211"/>
      <w:r>
        <w:rPr>
          <w:rFonts w:hint="eastAsia"/>
          <w:sz w:val="21"/>
          <w:szCs w:val="21"/>
        </w:rPr>
        <w:t>7、招标文件的</w:t>
      </w:r>
      <w:bookmarkEnd w:id="45"/>
      <w:bookmarkEnd w:id="46"/>
      <w:bookmarkEnd w:id="47"/>
      <w:bookmarkEnd w:id="48"/>
      <w:r>
        <w:rPr>
          <w:rFonts w:hint="eastAsia"/>
          <w:sz w:val="21"/>
          <w:szCs w:val="21"/>
        </w:rPr>
        <w:t>询问</w:t>
      </w:r>
    </w:p>
    <w:p>
      <w:pPr>
        <w:snapToGrid w:val="0"/>
        <w:spacing w:line="360" w:lineRule="auto"/>
        <w:ind w:firstLine="420" w:firstLineChars="200"/>
        <w:rPr>
          <w:rFonts w:ascii="宋体" w:hAnsi="宋体"/>
        </w:rPr>
      </w:pPr>
      <w:r>
        <w:rPr>
          <w:rFonts w:hint="eastAsia" w:ascii="宋体" w:hAnsi="宋体"/>
        </w:rPr>
        <w:t>7.1任何要求对招标文件进行询问的供应商，均应在提交首次投标文件截止时间</w:t>
      </w:r>
      <w:r>
        <w:rPr>
          <w:rFonts w:hint="eastAsia" w:ascii="宋体" w:hAnsi="宋体"/>
          <w:b/>
        </w:rPr>
        <w:t>15日前以电子文件形式（不具单位名称）发送至ntcjzb@126.com 邮箱</w:t>
      </w:r>
      <w:r>
        <w:rPr>
          <w:rFonts w:hint="eastAsia" w:ascii="宋体" w:hAnsi="宋体"/>
        </w:rPr>
        <w:t>，向代理机构或采购人提出。</w:t>
      </w:r>
    </w:p>
    <w:p>
      <w:pPr>
        <w:pStyle w:val="111"/>
        <w:snapToGrid w:val="0"/>
        <w:spacing w:line="360" w:lineRule="auto"/>
        <w:rPr>
          <w:sz w:val="21"/>
          <w:szCs w:val="21"/>
        </w:rPr>
      </w:pPr>
      <w:bookmarkStart w:id="49" w:name="_Toc462564071"/>
      <w:bookmarkStart w:id="50" w:name="_Toc513029212"/>
      <w:bookmarkStart w:id="51" w:name="_Toc16938528"/>
      <w:bookmarkStart w:id="52" w:name="_Toc20823284"/>
      <w:r>
        <w:rPr>
          <w:rFonts w:hint="eastAsia"/>
          <w:sz w:val="21"/>
          <w:szCs w:val="21"/>
        </w:rPr>
        <w:t>8、招标文件的修改</w:t>
      </w:r>
      <w:bookmarkEnd w:id="49"/>
      <w:bookmarkEnd w:id="50"/>
      <w:bookmarkEnd w:id="51"/>
      <w:bookmarkEnd w:id="52"/>
    </w:p>
    <w:p>
      <w:pPr>
        <w:snapToGrid w:val="0"/>
        <w:spacing w:line="360" w:lineRule="auto"/>
        <w:ind w:firstLine="420" w:firstLineChars="200"/>
        <w:rPr>
          <w:rFonts w:ascii="宋体" w:hAnsi="宋体"/>
          <w:b/>
        </w:rPr>
      </w:pPr>
      <w:r>
        <w:rPr>
          <w:rFonts w:hint="eastAsia" w:ascii="宋体" w:hAnsi="宋体"/>
        </w:rPr>
        <w:t xml:space="preserve">8.1 </w:t>
      </w:r>
      <w:r>
        <w:rPr>
          <w:rFonts w:hint="eastAsia" w:ascii="宋体" w:hAnsi="宋体"/>
          <w:b/>
        </w:rPr>
        <w:t>在投标截止时间5天前，代理机构可以对招标文件进行修改。</w:t>
      </w:r>
    </w:p>
    <w:p>
      <w:pPr>
        <w:snapToGrid w:val="0"/>
        <w:spacing w:line="360" w:lineRule="auto"/>
        <w:ind w:firstLine="420" w:firstLineChars="200"/>
        <w:rPr>
          <w:rFonts w:ascii="宋体" w:hAnsi="宋体"/>
        </w:rPr>
      </w:pPr>
      <w:r>
        <w:rPr>
          <w:rFonts w:hint="eastAsia" w:ascii="宋体" w:hAnsi="宋体"/>
        </w:rPr>
        <w:t>8.2代理机构有权按照法定的要求推迟投标截止日期和开标日期。</w:t>
      </w:r>
    </w:p>
    <w:p>
      <w:pPr>
        <w:snapToGrid w:val="0"/>
        <w:spacing w:line="360" w:lineRule="auto"/>
        <w:ind w:firstLine="420" w:firstLineChars="200"/>
        <w:rPr>
          <w:rFonts w:ascii="宋体" w:hAnsi="宋体"/>
        </w:rPr>
      </w:pPr>
      <w:r>
        <w:rPr>
          <w:rFonts w:hint="eastAsia" w:ascii="宋体" w:hAnsi="宋体"/>
        </w:rPr>
        <w:t>8.3补充文件将作为招标文件的组成部分，并对投标人具有约束力。</w:t>
      </w:r>
    </w:p>
    <w:p>
      <w:pPr>
        <w:snapToGrid w:val="0"/>
        <w:spacing w:line="360" w:lineRule="auto"/>
        <w:ind w:firstLine="480" w:firstLineChars="200"/>
        <w:rPr>
          <w:rFonts w:ascii="宋体" w:hAnsi="宋体"/>
          <w:sz w:val="24"/>
          <w:szCs w:val="24"/>
        </w:rPr>
      </w:pPr>
    </w:p>
    <w:p>
      <w:pPr>
        <w:snapToGrid w:val="0"/>
        <w:spacing w:line="360" w:lineRule="auto"/>
        <w:jc w:val="center"/>
        <w:outlineLvl w:val="1"/>
        <w:rPr>
          <w:rFonts w:ascii="宋体" w:hAnsi="宋体"/>
          <w:b/>
          <w:sz w:val="30"/>
          <w:szCs w:val="30"/>
        </w:rPr>
      </w:pPr>
      <w:bookmarkStart w:id="53" w:name="_Toc16938529"/>
      <w:bookmarkStart w:id="54" w:name="_Toc462564072"/>
      <w:bookmarkStart w:id="55" w:name="_Toc120614216"/>
      <w:bookmarkStart w:id="56" w:name="_Toc513029213"/>
      <w:bookmarkStart w:id="57" w:name="_Toc20823285"/>
      <w:r>
        <w:rPr>
          <w:rFonts w:hint="eastAsia" w:ascii="宋体" w:hAnsi="宋体"/>
          <w:b/>
          <w:sz w:val="30"/>
          <w:szCs w:val="30"/>
        </w:rPr>
        <w:t>三、投标文件的编制</w:t>
      </w:r>
      <w:bookmarkEnd w:id="53"/>
      <w:bookmarkEnd w:id="54"/>
      <w:bookmarkEnd w:id="55"/>
      <w:bookmarkEnd w:id="56"/>
      <w:bookmarkEnd w:id="57"/>
    </w:p>
    <w:p>
      <w:pPr>
        <w:pStyle w:val="111"/>
        <w:snapToGrid w:val="0"/>
        <w:spacing w:line="360" w:lineRule="auto"/>
        <w:rPr>
          <w:sz w:val="21"/>
          <w:szCs w:val="21"/>
        </w:rPr>
      </w:pPr>
      <w:bookmarkStart w:id="58" w:name="_Toc20823286"/>
      <w:bookmarkStart w:id="59" w:name="_Toc462564073"/>
      <w:bookmarkStart w:id="60" w:name="_Toc16938530"/>
      <w:bookmarkStart w:id="61" w:name="_Toc513029214"/>
      <w:r>
        <w:rPr>
          <w:rFonts w:hint="eastAsia"/>
          <w:sz w:val="21"/>
          <w:szCs w:val="21"/>
        </w:rPr>
        <w:t>9、投标文件的语言及度量衡单位</w:t>
      </w:r>
      <w:bookmarkEnd w:id="58"/>
      <w:bookmarkEnd w:id="59"/>
      <w:bookmarkEnd w:id="60"/>
      <w:bookmarkEnd w:id="61"/>
    </w:p>
    <w:p>
      <w:pPr>
        <w:snapToGrid w:val="0"/>
        <w:spacing w:line="360" w:lineRule="auto"/>
        <w:ind w:firstLine="420" w:firstLineChars="200"/>
        <w:rPr>
          <w:rFonts w:ascii="宋体" w:hAnsi="宋体"/>
        </w:rPr>
      </w:pPr>
      <w:r>
        <w:rPr>
          <w:rFonts w:hint="eastAsia" w:ascii="宋体" w:hAnsi="宋体"/>
        </w:rPr>
        <w:t>9.1 投标人提交的投标文件以及投标人与代理机构就有关投标的所有来往通知、函件和文件均应使用</w:t>
      </w:r>
      <w:r>
        <w:rPr>
          <w:rFonts w:hint="eastAsia" w:ascii="宋体" w:hAnsi="宋体"/>
          <w:b/>
        </w:rPr>
        <w:t>简体中文</w:t>
      </w:r>
      <w:r>
        <w:rPr>
          <w:rFonts w:hint="eastAsia" w:ascii="宋体" w:hAnsi="宋体"/>
        </w:rPr>
        <w:t>。</w:t>
      </w:r>
    </w:p>
    <w:p>
      <w:pPr>
        <w:snapToGrid w:val="0"/>
        <w:spacing w:line="360" w:lineRule="auto"/>
        <w:ind w:firstLine="420" w:firstLineChars="200"/>
        <w:rPr>
          <w:rFonts w:ascii="宋体" w:hAnsi="宋体"/>
        </w:rPr>
      </w:pPr>
      <w:r>
        <w:rPr>
          <w:rFonts w:hint="eastAsia" w:ascii="宋体" w:hAnsi="宋体"/>
        </w:rPr>
        <w:t>9.2 除技术性能另有规定外，投标文件所使用的度量衡单位，均须采用国家法定计量单位。</w:t>
      </w:r>
    </w:p>
    <w:p>
      <w:pPr>
        <w:pStyle w:val="111"/>
        <w:snapToGrid w:val="0"/>
        <w:spacing w:line="360" w:lineRule="auto"/>
        <w:rPr>
          <w:sz w:val="21"/>
          <w:szCs w:val="21"/>
        </w:rPr>
      </w:pPr>
      <w:bookmarkStart w:id="62" w:name="_Toc462564074"/>
      <w:bookmarkStart w:id="63" w:name="_Toc20823287"/>
      <w:bookmarkStart w:id="64" w:name="_Toc513029215"/>
      <w:bookmarkStart w:id="65" w:name="_Toc16938531"/>
      <w:r>
        <w:rPr>
          <w:rFonts w:hint="eastAsia"/>
          <w:sz w:val="21"/>
          <w:szCs w:val="21"/>
        </w:rPr>
        <w:t>10、投标文件构成</w:t>
      </w:r>
      <w:bookmarkEnd w:id="62"/>
      <w:bookmarkEnd w:id="63"/>
      <w:bookmarkEnd w:id="64"/>
      <w:bookmarkEnd w:id="65"/>
    </w:p>
    <w:p>
      <w:pPr>
        <w:snapToGrid w:val="0"/>
        <w:spacing w:line="360" w:lineRule="auto"/>
        <w:ind w:firstLine="567" w:firstLineChars="270"/>
        <w:rPr>
          <w:rFonts w:ascii="宋体" w:hAnsi="宋体"/>
        </w:rPr>
      </w:pPr>
      <w:r>
        <w:rPr>
          <w:rFonts w:hint="eastAsia" w:ascii="宋体" w:hAnsi="宋体"/>
          <w:bCs/>
        </w:rPr>
        <w:t>10.1</w:t>
      </w:r>
      <w:r>
        <w:rPr>
          <w:rFonts w:hint="eastAsia" w:ascii="宋体" w:hAnsi="宋体"/>
        </w:rPr>
        <w:t xml:space="preserve"> 投标人编写的投标文件应包括资格审查文件、技术标文件、商务标文件；</w:t>
      </w:r>
    </w:p>
    <w:p>
      <w:pPr>
        <w:snapToGrid w:val="0"/>
        <w:spacing w:line="360" w:lineRule="auto"/>
        <w:ind w:firstLine="567" w:firstLineChars="270"/>
        <w:rPr>
          <w:rFonts w:ascii="宋体" w:hAnsi="宋体"/>
        </w:rPr>
      </w:pPr>
      <w:r>
        <w:rPr>
          <w:rFonts w:hint="eastAsia" w:ascii="宋体" w:hAnsi="宋体"/>
        </w:rPr>
        <w:t>10.2投标人应将投标文件按顺序装订成册，并编制投标文件资料目录。</w:t>
      </w:r>
    </w:p>
    <w:p>
      <w:pPr>
        <w:pStyle w:val="111"/>
        <w:snapToGrid w:val="0"/>
        <w:spacing w:line="360" w:lineRule="auto"/>
        <w:rPr>
          <w:sz w:val="21"/>
          <w:szCs w:val="21"/>
        </w:rPr>
      </w:pPr>
      <w:bookmarkStart w:id="66" w:name="_Hlt26954838"/>
      <w:bookmarkEnd w:id="66"/>
      <w:bookmarkStart w:id="67" w:name="_Hlt26670360"/>
      <w:bookmarkEnd w:id="67"/>
      <w:bookmarkStart w:id="68" w:name="_Hlt26668975"/>
      <w:bookmarkEnd w:id="68"/>
      <w:bookmarkStart w:id="69" w:name="_Toc49090509"/>
      <w:bookmarkStart w:id="70" w:name="_Toc14577357"/>
      <w:bookmarkStart w:id="71" w:name="_Toc513029219"/>
      <w:bookmarkStart w:id="72" w:name="_Toc49090507"/>
      <w:bookmarkStart w:id="73" w:name="_Toc513029216"/>
      <w:bookmarkStart w:id="74" w:name="_Toc14577354"/>
      <w:r>
        <w:rPr>
          <w:rFonts w:hint="eastAsia"/>
          <w:sz w:val="21"/>
          <w:szCs w:val="21"/>
        </w:rPr>
        <w:t>11、</w:t>
      </w:r>
      <w:bookmarkEnd w:id="69"/>
      <w:bookmarkEnd w:id="70"/>
      <w:bookmarkEnd w:id="71"/>
      <w:r>
        <w:rPr>
          <w:rFonts w:hint="eastAsia"/>
          <w:sz w:val="21"/>
          <w:szCs w:val="21"/>
        </w:rPr>
        <w:t>投标文件的内容</w:t>
      </w:r>
    </w:p>
    <w:bookmarkEnd w:id="72"/>
    <w:bookmarkEnd w:id="73"/>
    <w:bookmarkEnd w:id="74"/>
    <w:p>
      <w:pPr>
        <w:snapToGrid w:val="0"/>
        <w:spacing w:line="360" w:lineRule="auto"/>
        <w:ind w:firstLine="569" w:firstLineChars="270"/>
        <w:rPr>
          <w:rFonts w:ascii="宋体" w:hAnsi="宋体"/>
          <w:b/>
        </w:rPr>
      </w:pPr>
      <w:r>
        <w:rPr>
          <w:rFonts w:hint="eastAsia" w:ascii="宋体" w:hAnsi="宋体"/>
          <w:b/>
        </w:rPr>
        <w:t>11.1资格审查文件</w:t>
      </w:r>
      <w:r>
        <w:rPr>
          <w:rFonts w:hint="eastAsia"/>
          <w:b/>
        </w:rPr>
        <w:t>（一个密封包，含一正二副，须加盖公章）</w:t>
      </w:r>
    </w:p>
    <w:p>
      <w:pPr>
        <w:snapToGrid w:val="0"/>
        <w:spacing w:line="360" w:lineRule="auto"/>
        <w:ind w:firstLine="567" w:firstLineChars="270"/>
        <w:rPr>
          <w:rFonts w:ascii="宋体" w:hAnsi="宋体"/>
        </w:rPr>
      </w:pPr>
      <w:r>
        <w:rPr>
          <w:rFonts w:hint="eastAsia" w:ascii="宋体" w:hAnsi="宋体"/>
        </w:rPr>
        <w:t>（1）法定代表人参加投标的，必须提供法定代表人身份证明书（原件）。</w:t>
      </w:r>
    </w:p>
    <w:p>
      <w:pPr>
        <w:snapToGrid w:val="0"/>
        <w:spacing w:line="360" w:lineRule="auto"/>
        <w:ind w:firstLine="567" w:firstLineChars="270"/>
        <w:rPr>
          <w:rFonts w:ascii="宋体" w:hAnsi="宋体"/>
        </w:rPr>
      </w:pPr>
      <w:r>
        <w:rPr>
          <w:rFonts w:hint="eastAsia" w:ascii="宋体" w:hAnsi="宋体"/>
        </w:rPr>
        <w:t>（2）非法定代表人参加的，必须提供法定代表人身份证明书及法定代表人亲笔签名的授权委托书（原件）。</w:t>
      </w:r>
    </w:p>
    <w:p>
      <w:pPr>
        <w:snapToGrid w:val="0"/>
        <w:spacing w:line="360" w:lineRule="auto"/>
        <w:ind w:firstLine="567" w:firstLineChars="270"/>
        <w:rPr>
          <w:rFonts w:ascii="宋体" w:hAnsi="宋体"/>
        </w:rPr>
      </w:pPr>
      <w:r>
        <w:rPr>
          <w:rFonts w:hint="eastAsia" w:ascii="宋体" w:hAnsi="宋体"/>
        </w:rPr>
        <w:t>（3）具有独立法人资格的投标单位，具有有效的营业执照、组织机构代码证、税务登记证或三证合一的营业执照(经营范围必须包含装卸、搬运业务)。</w:t>
      </w:r>
    </w:p>
    <w:p>
      <w:pPr>
        <w:snapToGrid w:val="0"/>
        <w:spacing w:line="360" w:lineRule="auto"/>
        <w:ind w:firstLine="567" w:firstLineChars="270"/>
        <w:rPr>
          <w:rFonts w:ascii="宋体" w:hAnsi="宋体"/>
        </w:rPr>
      </w:pPr>
      <w:r>
        <w:rPr>
          <w:rFonts w:hint="eastAsia" w:ascii="宋体" w:hAnsi="宋体"/>
        </w:rPr>
        <w:t>（4）投标企业出具为参加本项目投标的授权委托人所在地社保机构缴纳的2019年8月至2020年1月连续6个月的养老保险缴费清单证明）。</w:t>
      </w:r>
    </w:p>
    <w:p>
      <w:pPr>
        <w:snapToGrid w:val="0"/>
        <w:spacing w:line="360" w:lineRule="auto"/>
        <w:ind w:firstLine="567" w:firstLineChars="270"/>
        <w:rPr>
          <w:rFonts w:ascii="宋体" w:hAnsi="宋体"/>
        </w:rPr>
      </w:pPr>
      <w:r>
        <w:rPr>
          <w:rFonts w:hint="eastAsia" w:ascii="宋体" w:hAnsi="宋体"/>
        </w:rPr>
        <w:t>（5）诚信承诺书（原件）。</w:t>
      </w:r>
    </w:p>
    <w:p>
      <w:pPr>
        <w:snapToGrid w:val="0"/>
        <w:spacing w:line="360" w:lineRule="auto"/>
        <w:ind w:firstLine="567" w:firstLineChars="270"/>
        <w:rPr>
          <w:rFonts w:ascii="宋体" w:hAnsi="宋体"/>
        </w:rPr>
      </w:pPr>
      <w:r>
        <w:rPr>
          <w:rFonts w:hint="eastAsia" w:ascii="宋体" w:hAnsi="宋体"/>
        </w:rPr>
        <w:t>（6）投标单位认为其他必要的材料。</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r>
        <w:rPr>
          <w:rFonts w:hint="eastAsia" w:ascii="宋体" w:hAnsi="宋体" w:cs="Arial"/>
          <w:b/>
        </w:rPr>
        <w:t>同时提供原件查验。</w:t>
      </w:r>
    </w:p>
    <w:p>
      <w:pPr>
        <w:snapToGrid w:val="0"/>
        <w:spacing w:line="360" w:lineRule="auto"/>
        <w:ind w:firstLine="569" w:firstLineChars="270"/>
        <w:rPr>
          <w:rFonts w:ascii="宋体" w:hAnsi="宋体"/>
          <w:b/>
        </w:rPr>
      </w:pPr>
      <w:r>
        <w:rPr>
          <w:rFonts w:hint="eastAsia" w:ascii="宋体" w:hAnsi="宋体"/>
          <w:b/>
        </w:rPr>
        <w:t>11.2技术标（</w:t>
      </w:r>
      <w:r>
        <w:rPr>
          <w:rFonts w:hint="eastAsia"/>
          <w:b/>
        </w:rPr>
        <w:t>一个密封包，含一正二副，须加盖公章</w:t>
      </w:r>
      <w:r>
        <w:rPr>
          <w:rFonts w:hint="eastAsia" w:ascii="宋体" w:hAnsi="宋体"/>
          <w:b/>
        </w:rPr>
        <w:t>）</w:t>
      </w:r>
    </w:p>
    <w:p>
      <w:pPr>
        <w:snapToGrid w:val="0"/>
        <w:spacing w:line="360" w:lineRule="auto"/>
        <w:ind w:firstLine="567" w:firstLineChars="270"/>
        <w:rPr>
          <w:rFonts w:ascii="宋体" w:hAnsi="宋体"/>
        </w:rPr>
      </w:pPr>
      <w:r>
        <w:rPr>
          <w:rFonts w:hint="eastAsia" w:ascii="宋体" w:hAnsi="宋体"/>
        </w:rPr>
        <w:t>（1）人员配置情况；</w:t>
      </w:r>
    </w:p>
    <w:p>
      <w:pPr>
        <w:snapToGrid w:val="0"/>
        <w:spacing w:line="360" w:lineRule="auto"/>
        <w:ind w:firstLine="567" w:firstLineChars="270"/>
        <w:rPr>
          <w:rFonts w:ascii="宋体" w:hAnsi="宋体"/>
        </w:rPr>
      </w:pPr>
      <w:r>
        <w:rPr>
          <w:rFonts w:hint="eastAsia" w:ascii="宋体" w:hAnsi="宋体"/>
        </w:rPr>
        <w:t>（2）</w:t>
      </w:r>
      <w:r>
        <w:rPr>
          <w:rFonts w:ascii="宋体" w:hAnsi="宋体"/>
        </w:rPr>
        <w:t>业绩评分</w:t>
      </w:r>
      <w:r>
        <w:rPr>
          <w:rFonts w:hint="eastAsia" w:ascii="宋体" w:hAnsi="宋体"/>
        </w:rPr>
        <w:t>；</w:t>
      </w:r>
    </w:p>
    <w:p>
      <w:pPr>
        <w:snapToGrid w:val="0"/>
        <w:spacing w:line="360" w:lineRule="auto"/>
        <w:ind w:firstLine="567" w:firstLineChars="270"/>
        <w:rPr>
          <w:rFonts w:ascii="宋体" w:hAnsi="宋体"/>
        </w:rPr>
      </w:pPr>
      <w:r>
        <w:rPr>
          <w:rFonts w:hint="eastAsia" w:ascii="宋体" w:hAnsi="宋体"/>
        </w:rPr>
        <w:t>（3）项目负责人答辩；</w:t>
      </w:r>
    </w:p>
    <w:p>
      <w:pPr>
        <w:snapToGrid w:val="0"/>
        <w:spacing w:line="360" w:lineRule="auto"/>
        <w:ind w:firstLine="567" w:firstLineChars="270"/>
        <w:rPr>
          <w:rFonts w:ascii="宋体" w:hAnsi="宋体"/>
        </w:rPr>
      </w:pPr>
      <w:r>
        <w:rPr>
          <w:rFonts w:hint="eastAsia" w:ascii="宋体" w:hAnsi="宋体"/>
        </w:rPr>
        <w:t>（4）服务方案。</w:t>
      </w:r>
    </w:p>
    <w:p>
      <w:pPr>
        <w:snapToGrid w:val="0"/>
        <w:spacing w:line="360" w:lineRule="auto"/>
        <w:ind w:firstLine="569" w:firstLineChars="270"/>
        <w:rPr>
          <w:rFonts w:ascii="宋体" w:hAnsi="宋体"/>
          <w:b/>
        </w:rPr>
      </w:pPr>
      <w:r>
        <w:rPr>
          <w:rFonts w:hint="eastAsia" w:ascii="宋体" w:hAnsi="宋体"/>
          <w:b/>
        </w:rPr>
        <w:t>注：以上所有材料的复印件必须加盖公章，按技术标内容的要求提供相关原件。</w:t>
      </w:r>
    </w:p>
    <w:p>
      <w:pPr>
        <w:snapToGrid w:val="0"/>
        <w:spacing w:line="360" w:lineRule="auto"/>
        <w:ind w:firstLine="569" w:firstLineChars="270"/>
        <w:rPr>
          <w:rFonts w:ascii="宋体" w:hAnsi="宋体"/>
        </w:rPr>
      </w:pPr>
      <w:r>
        <w:rPr>
          <w:rFonts w:hint="eastAsia" w:ascii="宋体" w:hAnsi="宋体"/>
          <w:b/>
        </w:rPr>
        <w:t>11.3商务标</w:t>
      </w:r>
      <w:r>
        <w:rPr>
          <w:rFonts w:hint="eastAsia"/>
          <w:b/>
        </w:rPr>
        <w:t>（一个密封包，含一正二副，须加盖公章）</w:t>
      </w:r>
    </w:p>
    <w:p>
      <w:pPr>
        <w:snapToGrid w:val="0"/>
        <w:spacing w:line="360" w:lineRule="auto"/>
        <w:ind w:firstLine="567" w:firstLineChars="270"/>
        <w:rPr>
          <w:rFonts w:ascii="宋体" w:hAnsi="宋体"/>
        </w:rPr>
      </w:pPr>
      <w:r>
        <w:rPr>
          <w:rFonts w:hint="eastAsia" w:ascii="宋体" w:hAnsi="宋体"/>
        </w:rPr>
        <w:t>（1）投标响应函。</w:t>
      </w:r>
    </w:p>
    <w:p>
      <w:pPr>
        <w:snapToGrid w:val="0"/>
        <w:spacing w:line="360" w:lineRule="auto"/>
        <w:ind w:firstLine="567" w:firstLineChars="270"/>
        <w:rPr>
          <w:rFonts w:ascii="宋体" w:hAnsi="宋体"/>
        </w:rPr>
      </w:pPr>
      <w:r>
        <w:rPr>
          <w:rFonts w:hint="eastAsia" w:ascii="宋体" w:hAnsi="宋体"/>
        </w:rPr>
        <w:t>（2）投标响应报价总表</w:t>
      </w:r>
    </w:p>
    <w:p>
      <w:pPr>
        <w:pStyle w:val="111"/>
        <w:snapToGrid w:val="0"/>
        <w:spacing w:line="360" w:lineRule="auto"/>
        <w:rPr>
          <w:sz w:val="21"/>
          <w:szCs w:val="21"/>
        </w:rPr>
      </w:pPr>
      <w:r>
        <w:rPr>
          <w:rFonts w:hint="eastAsia"/>
          <w:sz w:val="21"/>
          <w:szCs w:val="21"/>
        </w:rPr>
        <w:t>12、 标的物</w:t>
      </w:r>
    </w:p>
    <w:p>
      <w:pPr>
        <w:snapToGrid w:val="0"/>
        <w:spacing w:line="360" w:lineRule="auto"/>
        <w:ind w:firstLine="525" w:firstLineChars="250"/>
        <w:rPr>
          <w:rFonts w:ascii="宋体" w:hAnsi="宋体"/>
        </w:rPr>
      </w:pPr>
      <w:r>
        <w:rPr>
          <w:rFonts w:hint="eastAsia" w:ascii="宋体" w:hAnsi="宋体"/>
        </w:rPr>
        <w:t>详见项目需求。</w:t>
      </w:r>
    </w:p>
    <w:p>
      <w:pPr>
        <w:pStyle w:val="111"/>
        <w:snapToGrid w:val="0"/>
        <w:spacing w:line="360" w:lineRule="auto"/>
        <w:rPr>
          <w:sz w:val="21"/>
          <w:szCs w:val="21"/>
        </w:rPr>
      </w:pPr>
      <w:r>
        <w:rPr>
          <w:rFonts w:hint="eastAsia"/>
          <w:sz w:val="21"/>
          <w:szCs w:val="21"/>
        </w:rPr>
        <w:t>13、有关费用处理</w:t>
      </w:r>
    </w:p>
    <w:p>
      <w:pPr>
        <w:pStyle w:val="111"/>
        <w:snapToGrid w:val="0"/>
        <w:spacing w:line="360" w:lineRule="auto"/>
        <w:ind w:firstLine="420" w:firstLineChars="200"/>
        <w:rPr>
          <w:b w:val="0"/>
          <w:sz w:val="21"/>
          <w:szCs w:val="21"/>
        </w:rPr>
      </w:pPr>
      <w:r>
        <w:rPr>
          <w:rFonts w:hint="eastAsia"/>
          <w:b w:val="0"/>
          <w:sz w:val="21"/>
          <w:szCs w:val="21"/>
        </w:rPr>
        <w:t>投标报价为一个月的费用，应包含人员工资、福利、保险、服装、培训费用、机械费、合理利润、所有税费等；合同包含的所有风险、责任及政策性文件规定以及招标文件所包含的招标代理费、投标费用等。</w:t>
      </w:r>
    </w:p>
    <w:p>
      <w:pPr>
        <w:pStyle w:val="111"/>
        <w:snapToGrid w:val="0"/>
        <w:spacing w:line="360" w:lineRule="auto"/>
        <w:rPr>
          <w:sz w:val="21"/>
          <w:szCs w:val="21"/>
        </w:rPr>
      </w:pPr>
      <w:r>
        <w:rPr>
          <w:rFonts w:hint="eastAsia"/>
          <w:sz w:val="21"/>
          <w:szCs w:val="21"/>
        </w:rPr>
        <w:t>14、其它费用处理</w:t>
      </w:r>
    </w:p>
    <w:p>
      <w:pPr>
        <w:snapToGrid w:val="0"/>
        <w:spacing w:line="360" w:lineRule="auto"/>
        <w:ind w:firstLine="525" w:firstLineChars="250"/>
        <w:rPr>
          <w:rFonts w:ascii="宋体" w:hAnsi="宋体"/>
        </w:rPr>
      </w:pPr>
      <w:r>
        <w:rPr>
          <w:rFonts w:hint="eastAsia" w:ascii="宋体" w:hAnsi="宋体"/>
        </w:rPr>
        <w:t>招标文件未列明，而投标人认为必需的费用也需列入报价。</w:t>
      </w:r>
    </w:p>
    <w:p>
      <w:pPr>
        <w:pStyle w:val="111"/>
        <w:snapToGrid w:val="0"/>
        <w:spacing w:line="360" w:lineRule="auto"/>
        <w:rPr>
          <w:sz w:val="21"/>
          <w:szCs w:val="21"/>
        </w:rPr>
      </w:pPr>
      <w:r>
        <w:rPr>
          <w:rFonts w:hint="eastAsia"/>
          <w:sz w:val="21"/>
          <w:szCs w:val="21"/>
        </w:rPr>
        <w:t>15、投标货币</w:t>
      </w:r>
    </w:p>
    <w:p>
      <w:pPr>
        <w:snapToGrid w:val="0"/>
        <w:spacing w:line="360" w:lineRule="auto"/>
        <w:ind w:left="105" w:leftChars="50" w:firstLine="420" w:firstLineChars="200"/>
        <w:rPr>
          <w:rFonts w:ascii="宋体" w:hAnsi="宋体" w:cs="宋体"/>
          <w:bCs/>
        </w:rPr>
      </w:pPr>
      <w:r>
        <w:rPr>
          <w:rFonts w:hint="eastAsia" w:ascii="宋体" w:hAnsi="宋体" w:cs="宋体"/>
          <w:bCs/>
        </w:rPr>
        <w:t>15.1投标文件中的单价和总价，无特殊规定的采用人民币报价，以元为单位标注。招标文件中另有规定的按规定执行。</w:t>
      </w:r>
    </w:p>
    <w:p>
      <w:pPr>
        <w:snapToGrid w:val="0"/>
        <w:spacing w:line="360" w:lineRule="auto"/>
        <w:ind w:firstLine="525" w:firstLineChars="250"/>
        <w:rPr>
          <w:rFonts w:ascii="宋体" w:hAnsi="宋体"/>
        </w:rPr>
      </w:pPr>
      <w:r>
        <w:rPr>
          <w:rFonts w:hint="eastAsia" w:ascii="宋体" w:hAnsi="宋体"/>
        </w:rPr>
        <w:t>15.2</w:t>
      </w:r>
      <w:r>
        <w:rPr>
          <w:rFonts w:hint="eastAsia" w:ascii="宋体" w:hAnsi="宋体" w:cs="宋体"/>
        </w:rPr>
        <w:t>投标函及投标报价明细表</w:t>
      </w:r>
      <w:r>
        <w:rPr>
          <w:rFonts w:hint="eastAsia" w:ascii="宋体" w:hAnsi="宋体" w:cs="宋体"/>
          <w:bCs/>
        </w:rPr>
        <w:t>上的价格应按招标文件规定填写</w:t>
      </w:r>
      <w:r>
        <w:rPr>
          <w:rFonts w:hint="eastAsia" w:ascii="宋体" w:hAnsi="宋体"/>
        </w:rPr>
        <w:t>。</w:t>
      </w:r>
    </w:p>
    <w:p>
      <w:pPr>
        <w:pStyle w:val="111"/>
        <w:snapToGrid w:val="0"/>
        <w:spacing w:line="360" w:lineRule="auto"/>
        <w:rPr>
          <w:sz w:val="21"/>
          <w:szCs w:val="21"/>
        </w:rPr>
      </w:pPr>
      <w:bookmarkStart w:id="75" w:name="_Hlt26954848"/>
      <w:bookmarkEnd w:id="75"/>
      <w:bookmarkStart w:id="76" w:name="_Hlt26670425"/>
      <w:bookmarkEnd w:id="76"/>
      <w:bookmarkStart w:id="77" w:name="_Hlt26670482"/>
      <w:bookmarkEnd w:id="77"/>
      <w:bookmarkStart w:id="78" w:name="_Hlt26954846"/>
      <w:bookmarkEnd w:id="78"/>
      <w:bookmarkStart w:id="79" w:name="_Hlt26954844"/>
      <w:bookmarkEnd w:id="79"/>
      <w:bookmarkStart w:id="80" w:name="_Hlt26670403"/>
      <w:bookmarkEnd w:id="80"/>
      <w:bookmarkStart w:id="81" w:name="_Hlt26954731"/>
      <w:bookmarkEnd w:id="81"/>
      <w:bookmarkStart w:id="82" w:name="_Hlt26668983"/>
      <w:bookmarkEnd w:id="82"/>
      <w:bookmarkStart w:id="83" w:name="_Hlt26954842"/>
      <w:bookmarkEnd w:id="83"/>
      <w:bookmarkStart w:id="84" w:name="_Hlt26670486"/>
      <w:bookmarkEnd w:id="84"/>
      <w:bookmarkStart w:id="85" w:name="_Toc14577359"/>
      <w:bookmarkStart w:id="86" w:name="_Toc49090510"/>
      <w:r>
        <w:rPr>
          <w:rFonts w:hint="eastAsia"/>
          <w:sz w:val="21"/>
          <w:szCs w:val="21"/>
        </w:rPr>
        <w:t>16、投标保证金</w:t>
      </w:r>
      <w:bookmarkEnd w:id="85"/>
      <w:bookmarkEnd w:id="86"/>
    </w:p>
    <w:p>
      <w:pPr>
        <w:snapToGrid w:val="0"/>
        <w:spacing w:line="360" w:lineRule="auto"/>
        <w:ind w:firstLine="525" w:firstLineChars="250"/>
        <w:rPr>
          <w:rFonts w:ascii="宋体" w:hAnsi="宋体"/>
          <w:bCs/>
        </w:rPr>
      </w:pPr>
      <w:r>
        <w:rPr>
          <w:rFonts w:hint="eastAsia" w:ascii="宋体" w:hAnsi="宋体"/>
        </w:rPr>
        <w:t>16.1</w:t>
      </w:r>
      <w:r>
        <w:rPr>
          <w:rFonts w:hint="eastAsia" w:ascii="宋体" w:hAnsi="宋体"/>
          <w:bCs/>
        </w:rPr>
        <w:t xml:space="preserve"> 投标人提交的投标保证金必须在投标截止时间前送达，并作为其投标的组成部分。</w:t>
      </w:r>
    </w:p>
    <w:p>
      <w:pPr>
        <w:snapToGrid w:val="0"/>
        <w:spacing w:line="360" w:lineRule="auto"/>
        <w:ind w:firstLine="525" w:firstLineChars="250"/>
        <w:rPr>
          <w:rFonts w:ascii="宋体" w:hAnsi="宋体"/>
          <w:bCs/>
        </w:rPr>
      </w:pPr>
      <w:r>
        <w:rPr>
          <w:rFonts w:hint="eastAsia" w:ascii="宋体" w:hAnsi="宋体"/>
        </w:rPr>
        <w:t>16.2</w:t>
      </w:r>
      <w:r>
        <w:rPr>
          <w:rFonts w:hint="eastAsia" w:ascii="宋体" w:hAnsi="宋体"/>
          <w:bCs/>
        </w:rPr>
        <w:t>在开标时，对于未按要求提交投标保证金的投标无效，代理机构拒绝接收其投标文件。</w:t>
      </w:r>
    </w:p>
    <w:p>
      <w:pPr>
        <w:snapToGrid w:val="0"/>
        <w:spacing w:line="360" w:lineRule="auto"/>
        <w:ind w:firstLine="525" w:firstLineChars="250"/>
        <w:rPr>
          <w:rFonts w:ascii="宋体" w:hAnsi="宋体"/>
          <w:b/>
          <w:bCs/>
        </w:rPr>
      </w:pPr>
      <w:r>
        <w:rPr>
          <w:rFonts w:hint="eastAsia" w:ascii="宋体" w:hAnsi="宋体"/>
        </w:rPr>
        <w:t>16.3</w:t>
      </w:r>
      <w:r>
        <w:rPr>
          <w:rFonts w:hint="eastAsia" w:ascii="宋体" w:hAnsi="宋体"/>
          <w:b/>
          <w:bCs/>
        </w:rPr>
        <w:t>未中标的投标保证金，开标结束后当场退回。</w:t>
      </w:r>
    </w:p>
    <w:p>
      <w:pPr>
        <w:snapToGrid w:val="0"/>
        <w:spacing w:line="360" w:lineRule="auto"/>
        <w:ind w:firstLine="525" w:firstLineChars="250"/>
        <w:rPr>
          <w:rFonts w:ascii="宋体" w:hAnsi="宋体"/>
          <w:bCs/>
        </w:rPr>
      </w:pPr>
      <w:r>
        <w:rPr>
          <w:rFonts w:hint="eastAsia" w:ascii="宋体" w:hAnsi="宋体"/>
        </w:rPr>
        <w:t>16.4</w:t>
      </w:r>
      <w:r>
        <w:rPr>
          <w:rFonts w:hint="eastAsia" w:ascii="宋体" w:hAnsi="宋体"/>
          <w:bCs/>
        </w:rPr>
        <w:t>下列任何情况发生时，投标保证金将不予退还：</w:t>
      </w:r>
    </w:p>
    <w:p>
      <w:pPr>
        <w:snapToGrid w:val="0"/>
        <w:spacing w:line="360" w:lineRule="auto"/>
        <w:ind w:firstLine="420" w:firstLineChars="200"/>
        <w:rPr>
          <w:rFonts w:ascii="宋体" w:hAnsi="宋体"/>
          <w:bCs/>
        </w:rPr>
      </w:pPr>
      <w:r>
        <w:rPr>
          <w:rFonts w:hint="eastAsia" w:ascii="宋体" w:hAnsi="宋体"/>
          <w:bCs/>
        </w:rPr>
        <w:t>（1）投标人在投标有效期内撤回其投标；</w:t>
      </w:r>
    </w:p>
    <w:p>
      <w:pPr>
        <w:snapToGrid w:val="0"/>
        <w:spacing w:line="360" w:lineRule="auto"/>
        <w:ind w:firstLine="420" w:firstLineChars="200"/>
        <w:rPr>
          <w:rFonts w:ascii="宋体" w:hAnsi="宋体"/>
          <w:bCs/>
        </w:rPr>
      </w:pPr>
      <w:r>
        <w:rPr>
          <w:rFonts w:hint="eastAsia" w:ascii="宋体" w:hAnsi="宋体"/>
          <w:bCs/>
        </w:rPr>
        <w:t>（2）投标人提供的有关资料、资格证明文件被确认是不真实的；</w:t>
      </w:r>
    </w:p>
    <w:p>
      <w:pPr>
        <w:snapToGrid w:val="0"/>
        <w:spacing w:line="360" w:lineRule="auto"/>
        <w:ind w:firstLine="420" w:firstLineChars="200"/>
        <w:rPr>
          <w:rFonts w:ascii="宋体" w:hAnsi="宋体"/>
        </w:rPr>
      </w:pPr>
      <w:r>
        <w:rPr>
          <w:rFonts w:hint="eastAsia" w:ascii="宋体" w:hAnsi="宋体"/>
        </w:rPr>
        <w:t>（3）投标人之间被证实有串通（统一哄抬价格）、欺诈行为；</w:t>
      </w:r>
    </w:p>
    <w:p>
      <w:pPr>
        <w:snapToGrid w:val="0"/>
        <w:spacing w:line="360" w:lineRule="auto"/>
        <w:ind w:left="1" w:firstLine="417" w:firstLineChars="199"/>
        <w:rPr>
          <w:rFonts w:ascii="宋体" w:hAnsi="宋体"/>
        </w:rPr>
      </w:pPr>
      <w:r>
        <w:rPr>
          <w:rFonts w:hint="eastAsia" w:ascii="宋体" w:hAnsi="宋体"/>
        </w:rPr>
        <w:t>（4）投标人被证明有妨碍其他人公平竞争、损害代理机构或者其他投标人合法权益的；</w:t>
      </w:r>
    </w:p>
    <w:p>
      <w:pPr>
        <w:pStyle w:val="111"/>
        <w:snapToGrid w:val="0"/>
        <w:spacing w:line="360" w:lineRule="auto"/>
        <w:rPr>
          <w:sz w:val="21"/>
          <w:szCs w:val="21"/>
        </w:rPr>
      </w:pPr>
      <w:bookmarkStart w:id="87" w:name="_Hlt26954734"/>
      <w:bookmarkEnd w:id="87"/>
      <w:bookmarkStart w:id="88" w:name="_Hlt26954850"/>
      <w:bookmarkEnd w:id="88"/>
      <w:bookmarkStart w:id="89" w:name="_Hlt26670489"/>
      <w:bookmarkEnd w:id="89"/>
      <w:bookmarkStart w:id="90" w:name="_Toc14577360"/>
      <w:bookmarkStart w:id="91" w:name="_Toc49090511"/>
      <w:r>
        <w:rPr>
          <w:rFonts w:hint="eastAsia"/>
          <w:sz w:val="21"/>
          <w:szCs w:val="21"/>
        </w:rPr>
        <w:t>17、投标有效期</w:t>
      </w:r>
      <w:bookmarkEnd w:id="90"/>
      <w:bookmarkEnd w:id="91"/>
    </w:p>
    <w:p>
      <w:pPr>
        <w:snapToGrid w:val="0"/>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投标有效期为代理机构规定的开标之日后</w:t>
      </w:r>
      <w:r>
        <w:rPr>
          <w:rFonts w:hint="eastAsia" w:ascii="宋体" w:hAnsi="宋体"/>
          <w:b/>
          <w:u w:val="single"/>
        </w:rPr>
        <w:t>四十五（45）天</w:t>
      </w:r>
      <w:r>
        <w:rPr>
          <w:rFonts w:hint="eastAsia" w:ascii="宋体" w:hAnsi="宋体"/>
          <w:bCs/>
        </w:rPr>
        <w:t>。投标有效期比规定短的将被视为非响应性投标而予以拒绝。</w:t>
      </w:r>
    </w:p>
    <w:p>
      <w:pPr>
        <w:snapToGrid w:val="0"/>
        <w:spacing w:line="360" w:lineRule="auto"/>
        <w:ind w:firstLine="420" w:firstLineChars="200"/>
        <w:rPr>
          <w:rFonts w:ascii="宋体" w:hAnsi="宋体"/>
          <w:bCs/>
        </w:rPr>
      </w:pPr>
      <w:r>
        <w:rPr>
          <w:rFonts w:hint="eastAsia" w:ascii="宋体" w:hAnsi="宋体"/>
        </w:rPr>
        <w:t>17.2</w:t>
      </w:r>
      <w:r>
        <w:rPr>
          <w:rFonts w:hint="eastAsia" w:ascii="宋体" w:hAnsi="宋体"/>
          <w:bCs/>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rPr>
        <w:t>代理机构在接到投标人书面答复后，将在原投标有效期满后五日内</w:t>
      </w:r>
      <w:r>
        <w:rPr>
          <w:rFonts w:hint="eastAsia" w:ascii="宋体" w:hAnsi="宋体"/>
          <w:b/>
          <w:bCs/>
        </w:rPr>
        <w:t>退还其投标保证金</w:t>
      </w:r>
      <w:r>
        <w:rPr>
          <w:rFonts w:hint="eastAsia" w:ascii="宋体" w:hAnsi="宋体"/>
        </w:rPr>
        <w:t>。</w:t>
      </w:r>
      <w:r>
        <w:rPr>
          <w:rFonts w:hint="eastAsia" w:ascii="宋体" w:hAnsi="宋体"/>
          <w:bCs/>
        </w:rPr>
        <w:t>同意延长投标有效期的投标人既不能要求也不允许修改其投标文件。第16条有关投标保证金的规定在延长期内继续有效</w:t>
      </w:r>
      <w:r>
        <w:rPr>
          <w:rFonts w:hint="eastAsia" w:ascii="宋体" w:hAnsi="宋体"/>
        </w:rPr>
        <w:t>，同时受投标有效期约束的所有权利与义务均延长至新的有效期</w:t>
      </w:r>
      <w:r>
        <w:rPr>
          <w:rFonts w:hint="eastAsia" w:ascii="宋体" w:hAnsi="宋体"/>
          <w:bCs/>
        </w:rPr>
        <w:t>。</w:t>
      </w:r>
    </w:p>
    <w:p>
      <w:pPr>
        <w:pStyle w:val="111"/>
        <w:snapToGrid w:val="0"/>
        <w:spacing w:line="360" w:lineRule="auto"/>
        <w:rPr>
          <w:sz w:val="21"/>
          <w:szCs w:val="21"/>
        </w:rPr>
      </w:pPr>
      <w:bookmarkStart w:id="92" w:name="_Hlt26954852"/>
      <w:bookmarkEnd w:id="92"/>
      <w:bookmarkStart w:id="93" w:name="_Hlt26954739"/>
      <w:bookmarkEnd w:id="93"/>
      <w:bookmarkStart w:id="94" w:name="_Toc49090512"/>
      <w:bookmarkStart w:id="95" w:name="_Toc14577361"/>
      <w:r>
        <w:rPr>
          <w:rFonts w:hint="eastAsia"/>
          <w:sz w:val="21"/>
          <w:szCs w:val="21"/>
        </w:rPr>
        <w:t>18、投标文件份数和签署</w:t>
      </w:r>
      <w:bookmarkEnd w:id="94"/>
      <w:bookmarkEnd w:id="95"/>
    </w:p>
    <w:p>
      <w:pPr>
        <w:snapToGrid w:val="0"/>
        <w:spacing w:line="360" w:lineRule="auto"/>
        <w:ind w:firstLine="420" w:firstLineChars="200"/>
        <w:rPr>
          <w:rFonts w:ascii="宋体" w:hAnsi="宋体"/>
        </w:rPr>
      </w:pPr>
      <w:r>
        <w:rPr>
          <w:rFonts w:hint="eastAsia" w:ascii="宋体" w:hAnsi="宋体"/>
        </w:rPr>
        <w:t>18.1 投标人应严格按照招标公告要求的份数准备投标文件，每份投标文件须清楚地标明“正本”或“副本”字样。一旦正本和副本不符，以正本为准。</w:t>
      </w:r>
    </w:p>
    <w:p>
      <w:pPr>
        <w:snapToGrid w:val="0"/>
        <w:spacing w:line="360" w:lineRule="auto"/>
        <w:ind w:firstLine="420" w:firstLineChars="200"/>
        <w:rPr>
          <w:rFonts w:ascii="宋体" w:hAnsi="宋体"/>
          <w:bCs/>
        </w:rPr>
      </w:pPr>
      <w:r>
        <w:rPr>
          <w:rFonts w:hint="eastAsia" w:ascii="宋体" w:hAnsi="宋体"/>
        </w:rPr>
        <w:t>18.2投标文件正本中，除采购文件规定的可提交复印件外，其他文件均须提交原件，文字材料需打印或用不褪色墨水书写。</w:t>
      </w:r>
      <w:r>
        <w:rPr>
          <w:rFonts w:hint="eastAsia" w:ascii="宋体" w:hAnsi="宋体"/>
          <w:b/>
        </w:rPr>
        <w:t xml:space="preserve">投标文件的正本须经法定代表人或授权代表签署和加盖投标人公章。 </w:t>
      </w:r>
      <w:r>
        <w:rPr>
          <w:rFonts w:hint="eastAsia" w:ascii="宋体" w:hAnsi="宋体"/>
        </w:rPr>
        <w:t>本采购文件所表述（指定）的公章是指法定名称章，不包括合同专用章、业务专用章等印章。</w:t>
      </w:r>
    </w:p>
    <w:p>
      <w:pPr>
        <w:snapToGrid w:val="0"/>
        <w:spacing w:line="360" w:lineRule="auto"/>
        <w:ind w:firstLine="420" w:firstLineChars="200"/>
        <w:rPr>
          <w:rFonts w:ascii="宋体" w:hAnsi="宋体"/>
          <w:bCs/>
        </w:rPr>
      </w:pPr>
      <w:r>
        <w:rPr>
          <w:rFonts w:hint="eastAsia" w:ascii="宋体" w:hAnsi="宋体"/>
        </w:rPr>
        <w:t>18.3</w:t>
      </w:r>
      <w:r>
        <w:rPr>
          <w:rFonts w:hint="eastAsia" w:ascii="宋体" w:hAnsi="宋体"/>
          <w:bCs/>
        </w:rPr>
        <w:t xml:space="preserve"> 除投标人对错处做必要修改外，投标文件不得行间插字、涂改或增删。如有修改错漏处，必须由投标文件签署人签字或盖章。</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96" w:name="_Toc120614217"/>
      <w:bookmarkStart w:id="97" w:name="_Toc16938540"/>
      <w:bookmarkStart w:id="98" w:name="_Toc20823296"/>
      <w:bookmarkStart w:id="99" w:name="_Toc513029224"/>
      <w:r>
        <w:rPr>
          <w:rFonts w:hint="eastAsia" w:ascii="宋体" w:hAnsi="宋体"/>
          <w:b/>
          <w:sz w:val="30"/>
          <w:szCs w:val="30"/>
        </w:rPr>
        <w:t xml:space="preserve">    四、投标文件的递交</w:t>
      </w:r>
      <w:bookmarkEnd w:id="96"/>
      <w:bookmarkEnd w:id="97"/>
      <w:bookmarkEnd w:id="98"/>
      <w:bookmarkEnd w:id="99"/>
      <w:bookmarkStart w:id="100" w:name="_Toc27481"/>
      <w:bookmarkStart w:id="101" w:name="_Toc387526399"/>
      <w:bookmarkStart w:id="102" w:name="_Toc387526203"/>
      <w:bookmarkStart w:id="103" w:name="_Toc397928574"/>
      <w:bookmarkStart w:id="104" w:name="_Toc387526307"/>
      <w:bookmarkStart w:id="105" w:name="_Toc20823301"/>
      <w:bookmarkStart w:id="106" w:name="_Toc120614218"/>
      <w:bookmarkStart w:id="107" w:name="_Toc513029229"/>
      <w:bookmarkStart w:id="108" w:name="_Toc16938545"/>
    </w:p>
    <w:p>
      <w:pPr>
        <w:pStyle w:val="111"/>
        <w:snapToGrid w:val="0"/>
        <w:spacing w:line="360" w:lineRule="auto"/>
        <w:rPr>
          <w:sz w:val="21"/>
          <w:szCs w:val="21"/>
        </w:rPr>
      </w:pPr>
      <w:r>
        <w:rPr>
          <w:rFonts w:hint="eastAsia"/>
          <w:sz w:val="21"/>
          <w:szCs w:val="21"/>
        </w:rPr>
        <w:t>19、投标文件的密封和标记</w:t>
      </w:r>
      <w:bookmarkEnd w:id="100"/>
      <w:bookmarkEnd w:id="101"/>
      <w:bookmarkEnd w:id="102"/>
      <w:bookmarkEnd w:id="103"/>
      <w:bookmarkEnd w:id="104"/>
    </w:p>
    <w:p>
      <w:pPr>
        <w:snapToGrid w:val="0"/>
        <w:spacing w:line="360" w:lineRule="auto"/>
        <w:ind w:firstLine="420" w:firstLineChars="200"/>
        <w:rPr>
          <w:rFonts w:ascii="宋体" w:hAnsi="宋体"/>
        </w:rPr>
      </w:pPr>
      <w:bookmarkStart w:id="109" w:name="_Toc397928575"/>
      <w:bookmarkStart w:id="110" w:name="_Toc387526308"/>
      <w:bookmarkStart w:id="111" w:name="_Toc387526204"/>
      <w:bookmarkStart w:id="112" w:name="_Toc387526400"/>
      <w:bookmarkStart w:id="113" w:name="_Toc7888"/>
      <w:r>
        <w:rPr>
          <w:rFonts w:hint="eastAsia" w:ascii="宋体" w:hAnsi="宋体"/>
        </w:rPr>
        <w:t>19.1投标人应准备</w:t>
      </w:r>
      <w:r>
        <w:rPr>
          <w:rFonts w:hint="eastAsia" w:ascii="宋体" w:hAnsi="宋体"/>
          <w:b/>
          <w:u w:val="single"/>
        </w:rPr>
        <w:t xml:space="preserve">叁 </w:t>
      </w:r>
      <w:r>
        <w:rPr>
          <w:rFonts w:hint="eastAsia" w:ascii="宋体" w:hAnsi="宋体"/>
        </w:rPr>
        <w:t>份完整的投标文件，其中正本</w:t>
      </w:r>
      <w:r>
        <w:rPr>
          <w:rFonts w:hint="eastAsia" w:ascii="宋体" w:hAnsi="宋体"/>
          <w:b/>
          <w:u w:val="single"/>
        </w:rPr>
        <w:t xml:space="preserve"> 壹 </w:t>
      </w:r>
      <w:r>
        <w:rPr>
          <w:rFonts w:hint="eastAsia" w:ascii="宋体" w:hAnsi="宋体"/>
        </w:rPr>
        <w:t>份，副本</w:t>
      </w:r>
      <w:r>
        <w:rPr>
          <w:rFonts w:hint="eastAsia" w:ascii="宋体" w:hAnsi="宋体"/>
          <w:b/>
          <w:u w:val="single"/>
        </w:rPr>
        <w:t>贰</w:t>
      </w:r>
      <w:r>
        <w:rPr>
          <w:rFonts w:hint="eastAsia" w:ascii="宋体" w:hAnsi="宋体"/>
        </w:rPr>
        <w:t>份，并标明“正本”或“副本”字样。</w:t>
      </w:r>
    </w:p>
    <w:p>
      <w:pPr>
        <w:snapToGrid w:val="0"/>
        <w:spacing w:line="360" w:lineRule="auto"/>
        <w:ind w:firstLine="420" w:firstLineChars="200"/>
        <w:rPr>
          <w:rFonts w:ascii="宋体" w:hAnsi="宋体"/>
          <w:b/>
        </w:rPr>
      </w:pPr>
      <w:r>
        <w:rPr>
          <w:rFonts w:hint="eastAsia" w:ascii="宋体" w:hAnsi="宋体"/>
        </w:rPr>
        <w:t>19.2  投标文件</w:t>
      </w:r>
      <w:r>
        <w:rPr>
          <w:rFonts w:hint="eastAsia" w:ascii="宋体" w:hAnsi="宋体"/>
          <w:b/>
        </w:rPr>
        <w:t>应密封，并在封套和投标文件封面上写明项目名称及投标人名称。</w:t>
      </w:r>
    </w:p>
    <w:p>
      <w:pPr>
        <w:pStyle w:val="111"/>
        <w:snapToGrid w:val="0"/>
        <w:spacing w:line="360" w:lineRule="auto"/>
        <w:rPr>
          <w:sz w:val="21"/>
          <w:szCs w:val="21"/>
        </w:rPr>
      </w:pPr>
      <w:r>
        <w:rPr>
          <w:sz w:val="21"/>
          <w:szCs w:val="21"/>
        </w:rPr>
        <w:t>20、投标文件的递交</w:t>
      </w:r>
      <w:bookmarkEnd w:id="109"/>
      <w:bookmarkEnd w:id="110"/>
      <w:bookmarkEnd w:id="111"/>
      <w:bookmarkEnd w:id="112"/>
      <w:bookmarkEnd w:id="113"/>
    </w:p>
    <w:p>
      <w:pPr>
        <w:snapToGrid w:val="0"/>
        <w:spacing w:line="360" w:lineRule="auto"/>
        <w:ind w:firstLine="424" w:firstLineChars="202"/>
        <w:rPr>
          <w:rFonts w:ascii="宋体" w:hAnsi="宋体"/>
        </w:rPr>
      </w:pPr>
      <w:r>
        <w:rPr>
          <w:rFonts w:hint="eastAsia" w:ascii="宋体" w:hAnsi="宋体"/>
        </w:rPr>
        <w:t>20.1 投标人应在投标人须知前附表规定的投标截止时间前递交投标文件。</w:t>
      </w:r>
    </w:p>
    <w:p>
      <w:pPr>
        <w:snapToGrid w:val="0"/>
        <w:spacing w:line="360" w:lineRule="auto"/>
        <w:ind w:firstLine="424" w:firstLineChars="202"/>
        <w:rPr>
          <w:rFonts w:ascii="宋体" w:hAnsi="宋体"/>
        </w:rPr>
      </w:pPr>
      <w:r>
        <w:rPr>
          <w:rFonts w:hint="eastAsia" w:ascii="宋体" w:hAnsi="宋体"/>
        </w:rPr>
        <w:t>20.2 投标人递交投标文件的地点：见投标人须知前附表。</w:t>
      </w:r>
    </w:p>
    <w:p>
      <w:pPr>
        <w:snapToGrid w:val="0"/>
        <w:spacing w:line="360" w:lineRule="auto"/>
        <w:ind w:firstLine="424" w:firstLineChars="202"/>
        <w:rPr>
          <w:rFonts w:ascii="宋体" w:hAnsi="宋体"/>
        </w:rPr>
      </w:pPr>
      <w:r>
        <w:rPr>
          <w:rFonts w:hint="eastAsia" w:ascii="宋体" w:hAnsi="宋体"/>
        </w:rPr>
        <w:t>20.3 除投标人须知前附表另有规定外，投标人所递交的投标文件不予退还。</w:t>
      </w:r>
    </w:p>
    <w:p>
      <w:pPr>
        <w:pStyle w:val="111"/>
        <w:snapToGrid w:val="0"/>
        <w:spacing w:line="360" w:lineRule="auto"/>
        <w:rPr>
          <w:sz w:val="21"/>
          <w:szCs w:val="21"/>
        </w:rPr>
      </w:pPr>
      <w:bookmarkStart w:id="114" w:name="_Toc387526401"/>
      <w:bookmarkStart w:id="115" w:name="_Toc387526309"/>
      <w:bookmarkStart w:id="116" w:name="_Toc387526205"/>
      <w:bookmarkStart w:id="117" w:name="_Toc12008"/>
      <w:bookmarkStart w:id="118" w:name="_Toc397928576"/>
      <w:r>
        <w:rPr>
          <w:rFonts w:hint="eastAsia"/>
          <w:sz w:val="21"/>
          <w:szCs w:val="21"/>
        </w:rPr>
        <w:t>21、投标文件的修改与撤回</w:t>
      </w:r>
      <w:bookmarkEnd w:id="114"/>
      <w:bookmarkEnd w:id="115"/>
      <w:bookmarkEnd w:id="116"/>
      <w:bookmarkEnd w:id="117"/>
      <w:bookmarkEnd w:id="118"/>
    </w:p>
    <w:p>
      <w:pPr>
        <w:snapToGrid w:val="0"/>
        <w:spacing w:line="360" w:lineRule="auto"/>
        <w:ind w:firstLine="424" w:firstLineChars="202"/>
        <w:rPr>
          <w:rFonts w:ascii="宋体" w:hAnsi="宋体"/>
        </w:rPr>
      </w:pPr>
      <w:r>
        <w:rPr>
          <w:rFonts w:hint="eastAsia" w:ascii="宋体" w:hAnsi="宋体"/>
        </w:rPr>
        <w:t>21.1 在投标人须知前附表规定的投标截止时间前，投标人可以修改或撤回已递交的投标文件，但应以书面形式通知采购人。</w:t>
      </w:r>
    </w:p>
    <w:p>
      <w:pPr>
        <w:snapToGrid w:val="0"/>
        <w:spacing w:line="360" w:lineRule="auto"/>
        <w:ind w:firstLine="424" w:firstLineChars="202"/>
        <w:rPr>
          <w:rFonts w:ascii="宋体" w:hAnsi="宋体"/>
        </w:rPr>
      </w:pPr>
      <w:r>
        <w:rPr>
          <w:rFonts w:hint="eastAsia" w:ascii="宋体" w:hAnsi="宋体"/>
        </w:rPr>
        <w:t>21.2投标人修改或撤回已递交投标文件的书面通知应按照本章第3.7.2 项的要求签字或盖章。采购人收到书面通知后，向投标人出具签收凭证。</w:t>
      </w:r>
    </w:p>
    <w:p>
      <w:pPr>
        <w:snapToGrid w:val="0"/>
        <w:spacing w:line="360" w:lineRule="auto"/>
        <w:ind w:firstLine="424" w:firstLineChars="202"/>
        <w:rPr>
          <w:rFonts w:ascii="宋体" w:hAnsi="宋体"/>
        </w:rPr>
      </w:pPr>
      <w:r>
        <w:rPr>
          <w:rFonts w:hint="eastAsia" w:ascii="宋体" w:hAnsi="宋体"/>
        </w:rPr>
        <w:t>21.3 修改的内容为投标文件的组成部分。修改的投标文件应按照本章第3 条、第4 条规定进行编制、密封、标记和递交，并标明“修改”字样。</w:t>
      </w:r>
    </w:p>
    <w:p>
      <w:pPr>
        <w:pStyle w:val="111"/>
        <w:snapToGrid w:val="0"/>
        <w:spacing w:line="360" w:lineRule="auto"/>
        <w:rPr>
          <w:sz w:val="21"/>
          <w:szCs w:val="21"/>
        </w:rPr>
      </w:pPr>
      <w:bookmarkStart w:id="119" w:name="_Toc397928577"/>
      <w:bookmarkStart w:id="120" w:name="_Toc11740"/>
      <w:r>
        <w:rPr>
          <w:rFonts w:hint="eastAsia"/>
          <w:sz w:val="21"/>
          <w:szCs w:val="21"/>
        </w:rPr>
        <w:t>22、不予接收的投标文件</w:t>
      </w:r>
      <w:bookmarkEnd w:id="119"/>
      <w:bookmarkEnd w:id="120"/>
    </w:p>
    <w:p>
      <w:pPr>
        <w:snapToGrid w:val="0"/>
        <w:spacing w:line="360" w:lineRule="auto"/>
        <w:ind w:firstLine="424" w:firstLineChars="202"/>
        <w:rPr>
          <w:rFonts w:ascii="宋体" w:hAnsi="宋体"/>
        </w:rPr>
      </w:pPr>
      <w:r>
        <w:rPr>
          <w:rFonts w:hint="eastAsia" w:ascii="宋体" w:hAnsi="宋体"/>
        </w:rPr>
        <w:t>22.1未按本章第19款规定密封的投标文件，采购人不予接收。</w:t>
      </w:r>
    </w:p>
    <w:p>
      <w:pPr>
        <w:snapToGrid w:val="0"/>
        <w:spacing w:line="360" w:lineRule="auto"/>
        <w:ind w:firstLine="424" w:firstLineChars="202"/>
        <w:rPr>
          <w:rFonts w:ascii="宋体" w:hAnsi="宋体"/>
        </w:rPr>
      </w:pPr>
      <w:r>
        <w:rPr>
          <w:rFonts w:hint="eastAsia" w:ascii="宋体" w:hAnsi="宋体"/>
        </w:rPr>
        <w:t>22.2逾期送达或者未送达指定地点的投标文件，采购人不予接收。</w:t>
      </w:r>
    </w:p>
    <w:p>
      <w:pPr>
        <w:snapToGrid w:val="0"/>
        <w:spacing w:line="360" w:lineRule="auto"/>
        <w:ind w:firstLine="424" w:firstLineChars="202"/>
        <w:rPr>
          <w:rFonts w:ascii="宋体" w:hAnsi="宋体"/>
        </w:rPr>
      </w:pPr>
      <w:r>
        <w:rPr>
          <w:rFonts w:hint="eastAsia" w:ascii="宋体" w:hAnsi="宋体"/>
        </w:rPr>
        <w:t>22.3未按招标文件要求递交投标保证金的，采购人不予接收。</w:t>
      </w:r>
    </w:p>
    <w:p>
      <w:pPr>
        <w:snapToGrid w:val="0"/>
        <w:spacing w:line="360" w:lineRule="auto"/>
        <w:ind w:firstLine="420"/>
        <w:rPr>
          <w:rFonts w:ascii="宋体" w:hAnsi="宋体"/>
          <w:b/>
          <w:sz w:val="23"/>
          <w:szCs w:val="23"/>
        </w:rPr>
      </w:pPr>
    </w:p>
    <w:p>
      <w:pPr>
        <w:snapToGrid w:val="0"/>
        <w:spacing w:line="360" w:lineRule="auto"/>
        <w:jc w:val="center"/>
        <w:outlineLvl w:val="1"/>
        <w:rPr>
          <w:rFonts w:ascii="宋体" w:hAnsi="宋体"/>
          <w:b/>
          <w:sz w:val="30"/>
          <w:szCs w:val="30"/>
        </w:rPr>
      </w:pPr>
      <w:r>
        <w:rPr>
          <w:rFonts w:hint="eastAsia" w:ascii="宋体" w:hAnsi="宋体"/>
          <w:b/>
          <w:sz w:val="30"/>
          <w:szCs w:val="30"/>
        </w:rPr>
        <w:t>五、开标与评标</w:t>
      </w:r>
      <w:bookmarkEnd w:id="105"/>
      <w:bookmarkEnd w:id="106"/>
      <w:bookmarkEnd w:id="107"/>
      <w:bookmarkEnd w:id="108"/>
    </w:p>
    <w:p>
      <w:pPr>
        <w:pStyle w:val="111"/>
        <w:snapToGrid w:val="0"/>
        <w:spacing w:line="360" w:lineRule="auto"/>
        <w:rPr>
          <w:sz w:val="21"/>
          <w:szCs w:val="21"/>
        </w:rPr>
      </w:pPr>
      <w:bookmarkStart w:id="121" w:name="_Toc513029230"/>
      <w:bookmarkStart w:id="122" w:name="_Toc20823302"/>
      <w:bookmarkStart w:id="123" w:name="_Toc16938546"/>
      <w:r>
        <w:rPr>
          <w:rFonts w:hint="eastAsia"/>
          <w:sz w:val="21"/>
          <w:szCs w:val="21"/>
        </w:rPr>
        <w:t>23、开标</w:t>
      </w:r>
      <w:bookmarkEnd w:id="121"/>
      <w:bookmarkEnd w:id="122"/>
      <w:bookmarkEnd w:id="123"/>
    </w:p>
    <w:p>
      <w:pPr>
        <w:snapToGrid w:val="0"/>
        <w:spacing w:line="360" w:lineRule="auto"/>
        <w:ind w:firstLine="420" w:firstLineChars="200"/>
        <w:rPr>
          <w:rFonts w:ascii="宋体" w:hAnsi="宋体"/>
          <w:b/>
          <w:bCs/>
        </w:rPr>
      </w:pPr>
      <w:r>
        <w:rPr>
          <w:rFonts w:hint="eastAsia" w:ascii="宋体" w:hAnsi="宋体"/>
          <w:bCs/>
        </w:rPr>
        <w:t>23.1 代理机构将在招标公告中规定的时间和地点组织公开开标。</w:t>
      </w:r>
      <w:r>
        <w:rPr>
          <w:rFonts w:hint="eastAsia" w:ascii="宋体" w:hAnsi="宋体"/>
          <w:b/>
          <w:bCs/>
        </w:rPr>
        <w:t>投标人的法定代表人（或其授权代理人）必须携带本人身份证原件、法定代表人身份证明（或授权委托书）原件参加开标会议。否则，其投标不予受理。注：法定代表人身份证明（或授权委托书）一式二份，一份装订在资格审查文件中，另一份在投标时随身携带。</w:t>
      </w:r>
    </w:p>
    <w:p>
      <w:pPr>
        <w:snapToGrid w:val="0"/>
        <w:spacing w:line="360" w:lineRule="auto"/>
        <w:ind w:firstLine="420" w:firstLineChars="200"/>
        <w:rPr>
          <w:rFonts w:ascii="宋体" w:hAnsi="宋体"/>
          <w:bCs/>
        </w:rPr>
      </w:pPr>
      <w:r>
        <w:rPr>
          <w:rFonts w:hint="eastAsia" w:ascii="宋体" w:hAnsi="宋体"/>
          <w:bCs/>
        </w:rPr>
        <w:t>23.2开标仪式由代理机构组织，采购人代表、投标人代表、公证员（必要时）、监管代表（必要时）等参加。</w:t>
      </w:r>
    </w:p>
    <w:p>
      <w:pPr>
        <w:snapToGrid w:val="0"/>
        <w:spacing w:line="360" w:lineRule="auto"/>
        <w:ind w:firstLine="420" w:firstLineChars="200"/>
        <w:rPr>
          <w:rFonts w:ascii="宋体" w:hAnsi="宋体"/>
          <w:bCs/>
        </w:rPr>
      </w:pPr>
      <w:r>
        <w:rPr>
          <w:rFonts w:hint="eastAsia" w:ascii="宋体" w:hAnsi="宋体"/>
          <w:bCs/>
        </w:rPr>
        <w:t>23.3 按照规定同意撤回的投标将不予开封。</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4 开标时请公证人员或投标人代表或监管代表查验投标文件密封情况，确认无误后，进入评标区评审。</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5 代理机构将指定专人负责开标记录并存档备查。</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6 投标人在报价时不允许采用选择性报价，否则将被视为无效投标。</w:t>
      </w:r>
    </w:p>
    <w:p>
      <w:pPr>
        <w:pStyle w:val="111"/>
        <w:snapToGrid w:val="0"/>
        <w:spacing w:line="360" w:lineRule="auto"/>
        <w:rPr>
          <w:sz w:val="21"/>
          <w:szCs w:val="21"/>
        </w:rPr>
      </w:pPr>
      <w:bookmarkStart w:id="124" w:name="_Toc513029231"/>
      <w:bookmarkStart w:id="125" w:name="_Toc20823303"/>
      <w:bookmarkStart w:id="126" w:name="_Toc16938547"/>
      <w:r>
        <w:rPr>
          <w:rFonts w:hint="eastAsia"/>
          <w:sz w:val="21"/>
          <w:szCs w:val="21"/>
        </w:rPr>
        <w:t>24、评标委员会</w:t>
      </w:r>
    </w:p>
    <w:p>
      <w:pPr>
        <w:snapToGrid w:val="0"/>
        <w:spacing w:line="360" w:lineRule="auto"/>
        <w:ind w:firstLine="420" w:firstLineChars="200"/>
        <w:rPr>
          <w:rFonts w:ascii="宋体" w:hAnsi="宋体"/>
          <w:bCs/>
        </w:rPr>
      </w:pPr>
      <w:r>
        <w:rPr>
          <w:rFonts w:hint="eastAsia" w:ascii="宋体" w:hAnsi="宋体"/>
          <w:bCs/>
        </w:rPr>
        <w:t>24.1 开标后，代理机构将立即组织评标委员会（以下简称评委会）进行评标。</w:t>
      </w:r>
    </w:p>
    <w:p>
      <w:pPr>
        <w:snapToGrid w:val="0"/>
        <w:spacing w:line="360" w:lineRule="auto"/>
        <w:ind w:firstLine="420" w:firstLineChars="200"/>
        <w:rPr>
          <w:rFonts w:ascii="宋体" w:hAnsi="宋体"/>
          <w:bCs/>
        </w:rPr>
      </w:pPr>
      <w:r>
        <w:rPr>
          <w:rFonts w:hint="eastAsia" w:ascii="宋体" w:hAnsi="宋体"/>
          <w:bCs/>
        </w:rPr>
        <w:t>24.2 评委会由采购人代表和有关技术、经济等方面的专家组成，且人员构成符合政府采购有关规定。</w:t>
      </w:r>
    </w:p>
    <w:p>
      <w:pPr>
        <w:snapToGrid w:val="0"/>
        <w:spacing w:line="360" w:lineRule="auto"/>
        <w:ind w:firstLine="420" w:firstLineChars="200"/>
        <w:rPr>
          <w:rFonts w:ascii="宋体" w:hAnsi="宋体"/>
          <w:bCs/>
        </w:rPr>
      </w:pPr>
      <w:r>
        <w:rPr>
          <w:rFonts w:hint="eastAsia" w:ascii="宋体" w:hAnsi="宋体"/>
          <w:bCs/>
        </w:rPr>
        <w:t>24.3评委会独立工作，负责评审所有投标文件并确定中标人。</w:t>
      </w:r>
    </w:p>
    <w:p>
      <w:pPr>
        <w:pStyle w:val="111"/>
        <w:snapToGrid w:val="0"/>
        <w:spacing w:line="360" w:lineRule="auto"/>
        <w:rPr>
          <w:sz w:val="21"/>
          <w:szCs w:val="21"/>
        </w:rPr>
      </w:pPr>
      <w:r>
        <w:rPr>
          <w:rFonts w:hint="eastAsia"/>
          <w:sz w:val="21"/>
          <w:szCs w:val="21"/>
        </w:rPr>
        <w:t>25．评标过程的保密与公正</w:t>
      </w:r>
    </w:p>
    <w:bookmarkEnd w:id="124"/>
    <w:bookmarkEnd w:id="125"/>
    <w:bookmarkEnd w:id="126"/>
    <w:p>
      <w:pPr>
        <w:snapToGrid w:val="0"/>
        <w:spacing w:line="360" w:lineRule="auto"/>
        <w:ind w:firstLine="420" w:firstLineChars="200"/>
        <w:rPr>
          <w:rFonts w:ascii="宋体" w:hAnsi="宋体"/>
          <w:bCs/>
        </w:rPr>
      </w:pPr>
      <w:r>
        <w:rPr>
          <w:rFonts w:hint="eastAsia" w:ascii="宋体" w:hAnsi="宋体"/>
          <w:bCs/>
        </w:rPr>
        <w:t>25.1公开开标后，直至向中标的投标人授予合同时止，凡是与审查、澄清、评价和比较投标的有关资料以及授标建议等，采购人、评委、代理机构均不得向投标人或与评标无关的其他人员透露。</w:t>
      </w:r>
    </w:p>
    <w:p>
      <w:pPr>
        <w:snapToGrid w:val="0"/>
        <w:spacing w:line="360" w:lineRule="auto"/>
        <w:ind w:firstLine="420" w:firstLineChars="200"/>
        <w:rPr>
          <w:rFonts w:ascii="宋体" w:hAnsi="宋体"/>
          <w:bCs/>
        </w:rPr>
      </w:pPr>
      <w:r>
        <w:rPr>
          <w:rFonts w:hint="eastAsia" w:ascii="宋体" w:hAnsi="宋体"/>
          <w:bCs/>
        </w:rPr>
        <w:t>25.2在评标过程中，投</w:t>
      </w:r>
      <w:r>
        <w:rPr>
          <w:rFonts w:hint="eastAsia" w:ascii="宋体" w:hAnsi="宋体"/>
        </w:rPr>
        <w:t>标人不得以任何行为影响评标过程，否则其投标文件将被作</w:t>
      </w:r>
      <w:r>
        <w:rPr>
          <w:rFonts w:hint="eastAsia" w:ascii="宋体" w:hAnsi="宋体"/>
          <w:bCs/>
        </w:rPr>
        <w:t>为无效投标文件。</w:t>
      </w:r>
    </w:p>
    <w:p>
      <w:pPr>
        <w:snapToGrid w:val="0"/>
        <w:spacing w:line="360" w:lineRule="auto"/>
        <w:ind w:firstLine="420" w:firstLineChars="200"/>
        <w:rPr>
          <w:rFonts w:ascii="宋体" w:hAnsi="宋体"/>
          <w:bCs/>
        </w:rPr>
      </w:pPr>
      <w:r>
        <w:rPr>
          <w:rFonts w:hint="eastAsia" w:ascii="宋体" w:hAnsi="宋体"/>
          <w:bCs/>
        </w:rPr>
        <w:t>25.3在评标期间，代理机构将设专门人员与投标人联系。</w:t>
      </w:r>
    </w:p>
    <w:p>
      <w:pPr>
        <w:snapToGrid w:val="0"/>
        <w:spacing w:line="360" w:lineRule="auto"/>
        <w:ind w:firstLine="420" w:firstLineChars="200"/>
        <w:rPr>
          <w:rFonts w:ascii="宋体" w:hAnsi="宋体"/>
          <w:bCs/>
        </w:rPr>
      </w:pPr>
      <w:r>
        <w:rPr>
          <w:rFonts w:hint="eastAsia" w:ascii="宋体" w:hAnsi="宋体"/>
          <w:bCs/>
        </w:rPr>
        <w:t>25.4 代理机构和评标委员会不得向落标的投标人解释未中标原因，也不公布评标过程中的相关细节。</w:t>
      </w:r>
    </w:p>
    <w:p>
      <w:pPr>
        <w:pStyle w:val="111"/>
        <w:snapToGrid w:val="0"/>
        <w:spacing w:line="360" w:lineRule="auto"/>
        <w:rPr>
          <w:sz w:val="21"/>
          <w:szCs w:val="21"/>
        </w:rPr>
      </w:pPr>
      <w:bookmarkStart w:id="127" w:name="_Toc513029232"/>
      <w:bookmarkStart w:id="128" w:name="_Toc16938548"/>
      <w:bookmarkStart w:id="129" w:name="_Toc20823304"/>
      <w:r>
        <w:rPr>
          <w:rFonts w:hint="eastAsia"/>
          <w:sz w:val="21"/>
          <w:szCs w:val="21"/>
        </w:rPr>
        <w:t>26．投标的澄清</w:t>
      </w:r>
      <w:bookmarkEnd w:id="127"/>
      <w:bookmarkEnd w:id="128"/>
      <w:bookmarkEnd w:id="129"/>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6.</w:t>
      </w:r>
      <w:r>
        <w:rPr>
          <w:rFonts w:ascii="宋体" w:hAnsi="宋体"/>
          <w:bCs/>
        </w:rPr>
        <w:t>1</w:t>
      </w:r>
      <w:r>
        <w:rPr>
          <w:rFonts w:hint="eastAsia" w:ascii="宋体" w:hAnsi="宋体"/>
          <w:bCs/>
        </w:rPr>
        <w:t>评标期间，为有助于对投标文件的审查、评价和比较，评委会有权以书面形式要求投标人对其投标文件进行澄清，但并非对每个投标人都作澄清要求。</w:t>
      </w:r>
    </w:p>
    <w:p>
      <w:pPr>
        <w:snapToGrid w:val="0"/>
        <w:spacing w:line="360" w:lineRule="auto"/>
        <w:rPr>
          <w:rFonts w:ascii="宋体" w:hAnsi="宋体"/>
          <w:bCs/>
        </w:rPr>
      </w:pPr>
      <w:r>
        <w:rPr>
          <w:rFonts w:hint="eastAsia" w:ascii="宋体" w:hAnsi="宋体"/>
          <w:bCs/>
        </w:rPr>
        <w:t xml:space="preserve">    26.2接到评委会澄清要求的投标人应派人按评委会通知的时间和地点做出书面澄清，书面澄清的内容须由投标人法人或授权代表签署，并作为投标文件的补充部分，但投标的价格和实质性的内容不得做任何更改。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rPr>
          <w:rFonts w:ascii="宋体" w:hAnsi="宋体"/>
        </w:rPr>
      </w:pPr>
      <w:r>
        <w:rPr>
          <w:rFonts w:hint="eastAsia" w:ascii="宋体" w:hAnsi="宋体"/>
          <w:bCs/>
        </w:rPr>
        <w:t xml:space="preserve">    26.3 接到评委会澄清要求的投标人如未按规定做出澄清，其风险由投标人自行承担。</w:t>
      </w:r>
    </w:p>
    <w:p>
      <w:pPr>
        <w:pStyle w:val="111"/>
        <w:snapToGrid w:val="0"/>
        <w:spacing w:line="360" w:lineRule="auto"/>
        <w:rPr>
          <w:sz w:val="21"/>
          <w:szCs w:val="21"/>
        </w:rPr>
      </w:pPr>
      <w:bookmarkStart w:id="130" w:name="_Toc20823305"/>
      <w:bookmarkStart w:id="131" w:name="_Toc16938549"/>
      <w:bookmarkStart w:id="132" w:name="_Toc513029233"/>
      <w:r>
        <w:rPr>
          <w:rFonts w:hint="eastAsia"/>
          <w:sz w:val="21"/>
          <w:szCs w:val="21"/>
        </w:rPr>
        <w:t>27、对投标文件的初审</w:t>
      </w:r>
      <w:bookmarkEnd w:id="130"/>
      <w:bookmarkEnd w:id="131"/>
      <w:bookmarkEnd w:id="132"/>
    </w:p>
    <w:p>
      <w:pPr>
        <w:snapToGrid w:val="0"/>
        <w:spacing w:line="360" w:lineRule="auto"/>
        <w:ind w:firstLine="420" w:firstLineChars="200"/>
        <w:rPr>
          <w:rFonts w:ascii="宋体" w:hAnsi="宋体"/>
          <w:bCs/>
        </w:rPr>
      </w:pPr>
      <w:r>
        <w:rPr>
          <w:rFonts w:hint="eastAsia" w:ascii="宋体" w:hAnsi="宋体"/>
          <w:bCs/>
        </w:rPr>
        <w:t>27.1投标文件初审分为资格性检查和符合性检查。</w:t>
      </w:r>
    </w:p>
    <w:p>
      <w:pPr>
        <w:snapToGrid w:val="0"/>
        <w:spacing w:line="360" w:lineRule="auto"/>
        <w:ind w:firstLine="420" w:firstLineChars="200"/>
        <w:rPr>
          <w:rFonts w:ascii="宋体" w:hAnsi="宋体"/>
          <w:bCs/>
        </w:rPr>
      </w:pPr>
      <w:r>
        <w:rPr>
          <w:rFonts w:hint="eastAsia" w:ascii="宋体" w:hAnsi="宋体"/>
          <w:bCs/>
        </w:rPr>
        <w:t>资格性检查：依据法律法规和招标文件的规定，对投标文件中的资格证明文件、投标保证金等进行审查，以确定投标供应商是否具备投标资格。</w:t>
      </w:r>
    </w:p>
    <w:p>
      <w:pPr>
        <w:snapToGrid w:val="0"/>
        <w:spacing w:line="360" w:lineRule="auto"/>
        <w:ind w:firstLine="420" w:firstLineChars="200"/>
        <w:rPr>
          <w:rFonts w:ascii="宋体" w:hAnsi="宋体"/>
          <w:bCs/>
        </w:rPr>
      </w:pPr>
      <w:r>
        <w:rPr>
          <w:rFonts w:hint="eastAsia" w:ascii="宋体" w:hAnsi="宋体"/>
          <w:bCs/>
        </w:rPr>
        <w:t>符合性检查：依据招标文件的规定，从投标文件的有效性、完整性和对招标文件的响应程度进行审查，以确定是否对招标文件的实质性要求做出响应。</w:t>
      </w:r>
    </w:p>
    <w:p>
      <w:pPr>
        <w:snapToGrid w:val="0"/>
        <w:spacing w:line="360" w:lineRule="auto"/>
        <w:ind w:firstLine="420" w:firstLineChars="200"/>
        <w:rPr>
          <w:rFonts w:ascii="宋体" w:hAnsi="宋体"/>
          <w:bCs/>
        </w:rPr>
      </w:pPr>
      <w:r>
        <w:rPr>
          <w:rFonts w:hint="eastAsia" w:ascii="宋体" w:hAnsi="宋体"/>
          <w:bCs/>
        </w:rPr>
        <w:t>27.2在详细评标之前，评委会将首先审查每份投标文件是否实质性响应了招标文件的要求。实质性响应的投标应该是与招标文件要求的全部条款、条件和规格相符，没有重大偏离或保留的投标。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20" w:firstLineChars="200"/>
        <w:rPr>
          <w:rFonts w:ascii="宋体" w:hAnsi="宋体"/>
          <w:bCs/>
        </w:rPr>
      </w:pPr>
      <w:r>
        <w:rPr>
          <w:rFonts w:hint="eastAsia" w:ascii="宋体" w:hAnsi="宋体"/>
          <w:bCs/>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做出结论。认定评委决定投标文件的响应性只根据投标文件本身的内容，而不寻求外部的证据。</w:t>
      </w:r>
    </w:p>
    <w:p>
      <w:pPr>
        <w:snapToGrid w:val="0"/>
        <w:spacing w:line="360" w:lineRule="auto"/>
        <w:ind w:firstLine="420" w:firstLineChars="200"/>
        <w:rPr>
          <w:rFonts w:ascii="宋体" w:hAnsi="宋体"/>
          <w:bCs/>
        </w:rPr>
      </w:pPr>
      <w:r>
        <w:rPr>
          <w:rFonts w:hint="eastAsia" w:ascii="宋体" w:hAnsi="宋体"/>
          <w:bCs/>
        </w:rPr>
        <w:t>27.3如果投标文件实质上没有响应招标文件的要求，评委会将予以拒绝，投标人不得通过修改或撤销不合要求的偏离或保留而使其投标成为实质性响应的投标。</w:t>
      </w:r>
    </w:p>
    <w:p>
      <w:pPr>
        <w:snapToGrid w:val="0"/>
        <w:spacing w:line="360" w:lineRule="auto"/>
        <w:ind w:firstLine="420" w:firstLineChars="200"/>
        <w:rPr>
          <w:rFonts w:ascii="宋体" w:hAnsi="宋体"/>
          <w:bCs/>
        </w:rPr>
      </w:pPr>
      <w:r>
        <w:rPr>
          <w:rFonts w:hint="eastAsia" w:ascii="宋体" w:hAnsi="宋体"/>
          <w:bCs/>
        </w:rPr>
        <w:t>27.4评委会将对确定为实质性响应的投标进行进一步审核，对投标文件中大小写金额不一致等问题的评审原则如下：</w:t>
      </w:r>
    </w:p>
    <w:p>
      <w:pPr>
        <w:snapToGrid w:val="0"/>
        <w:spacing w:line="360" w:lineRule="auto"/>
        <w:ind w:firstLine="420" w:firstLineChars="200"/>
        <w:rPr>
          <w:rFonts w:ascii="宋体" w:hAnsi="宋体"/>
          <w:bCs/>
        </w:rPr>
      </w:pPr>
      <w:r>
        <w:rPr>
          <w:rFonts w:hint="eastAsia" w:ascii="宋体" w:hAnsi="宋体"/>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宋体" w:hAnsi="宋体"/>
          <w:bCs/>
        </w:rPr>
      </w:pPr>
      <w:r>
        <w:rPr>
          <w:rFonts w:hint="eastAsia" w:ascii="宋体" w:hAnsi="宋体"/>
          <w:bCs/>
        </w:rPr>
        <w:t>27.5评委会将按上述修正错误的方法调整投标文件中的投标报价，调整后的价格应对投标人具有约束力。如果投标人不接受修正后的价格，则其投标将被拒绝，其投标保证金不予退还。</w:t>
      </w:r>
    </w:p>
    <w:p>
      <w:pPr>
        <w:snapToGrid w:val="0"/>
        <w:spacing w:line="360" w:lineRule="auto"/>
        <w:ind w:firstLine="420" w:firstLineChars="200"/>
        <w:rPr>
          <w:rFonts w:ascii="宋体" w:hAnsi="宋体"/>
          <w:bCs/>
        </w:rPr>
      </w:pPr>
      <w:r>
        <w:rPr>
          <w:rFonts w:hint="eastAsia" w:ascii="宋体" w:hAnsi="宋体"/>
          <w:bCs/>
        </w:rPr>
        <w:t>27.6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pStyle w:val="16"/>
        <w:snapToGrid w:val="0"/>
        <w:spacing w:line="360" w:lineRule="auto"/>
        <w:rPr>
          <w:rFonts w:ascii="宋体" w:hAnsi="宋体" w:eastAsia="宋体"/>
          <w:b/>
          <w:sz w:val="21"/>
          <w:szCs w:val="21"/>
        </w:rPr>
      </w:pPr>
      <w:bookmarkStart w:id="133" w:name="_Toc16938550"/>
      <w:bookmarkStart w:id="134" w:name="_Toc513029234"/>
      <w:bookmarkStart w:id="135" w:name="_Toc20823306"/>
      <w:r>
        <w:rPr>
          <w:rFonts w:hint="eastAsia" w:ascii="宋体" w:hAnsi="宋体" w:eastAsia="宋体"/>
          <w:b/>
          <w:sz w:val="21"/>
          <w:szCs w:val="21"/>
        </w:rPr>
        <w:t>28、</w:t>
      </w:r>
      <w:bookmarkEnd w:id="133"/>
      <w:bookmarkEnd w:id="134"/>
      <w:bookmarkEnd w:id="135"/>
      <w:r>
        <w:rPr>
          <w:rFonts w:hint="eastAsia" w:ascii="宋体" w:hAnsi="宋体" w:eastAsia="宋体"/>
          <w:b/>
          <w:sz w:val="21"/>
          <w:szCs w:val="21"/>
        </w:rPr>
        <w:t>无效投标条款和废标条款</w:t>
      </w:r>
    </w:p>
    <w:p>
      <w:pPr>
        <w:snapToGrid w:val="0"/>
        <w:spacing w:line="360" w:lineRule="auto"/>
        <w:ind w:firstLine="420" w:firstLineChars="200"/>
        <w:rPr>
          <w:rFonts w:ascii="宋体" w:hAnsi="宋体"/>
          <w:bCs/>
        </w:rPr>
      </w:pPr>
      <w:bookmarkStart w:id="136" w:name="_Toc20823307"/>
      <w:bookmarkStart w:id="137" w:name="_Toc513029235"/>
      <w:bookmarkStart w:id="138" w:name="_Toc16938551"/>
      <w:r>
        <w:rPr>
          <w:rFonts w:hint="eastAsia" w:ascii="宋体" w:hAnsi="宋体"/>
          <w:bCs/>
        </w:rPr>
        <w:t>28.1无效投标条款</w:t>
      </w:r>
    </w:p>
    <w:p>
      <w:pPr>
        <w:snapToGrid w:val="0"/>
        <w:spacing w:line="360" w:lineRule="auto"/>
        <w:ind w:firstLine="420" w:firstLineChars="200"/>
        <w:rPr>
          <w:rFonts w:ascii="宋体" w:hAnsi="宋体"/>
          <w:bCs/>
        </w:rPr>
      </w:pPr>
      <w:r>
        <w:rPr>
          <w:rFonts w:hint="eastAsia" w:ascii="宋体" w:hAnsi="宋体"/>
          <w:bCs/>
        </w:rPr>
        <w:t>28.1.1未按要求交纳投标保证金的；</w:t>
      </w:r>
    </w:p>
    <w:p>
      <w:pPr>
        <w:snapToGrid w:val="0"/>
        <w:spacing w:line="360" w:lineRule="auto"/>
        <w:ind w:firstLine="420" w:firstLineChars="200"/>
        <w:rPr>
          <w:rFonts w:ascii="宋体" w:hAnsi="宋体"/>
          <w:bCs/>
        </w:rPr>
      </w:pPr>
      <w:r>
        <w:rPr>
          <w:rFonts w:hint="eastAsia" w:ascii="宋体" w:hAnsi="宋体"/>
          <w:bCs/>
        </w:rPr>
        <w:t>28.1.2未按照招标文件规定要求密封、签署、盖章的；</w:t>
      </w:r>
    </w:p>
    <w:p>
      <w:pPr>
        <w:snapToGrid w:val="0"/>
        <w:spacing w:line="360" w:lineRule="auto"/>
        <w:ind w:firstLine="420" w:firstLineChars="200"/>
        <w:rPr>
          <w:rFonts w:ascii="宋体" w:hAnsi="宋体"/>
          <w:bCs/>
        </w:rPr>
      </w:pPr>
      <w:r>
        <w:rPr>
          <w:rFonts w:hint="eastAsia" w:ascii="宋体" w:hAnsi="宋体"/>
          <w:bCs/>
        </w:rPr>
        <w:t>28.1.3投标人在报价时采用选择性报价；</w:t>
      </w:r>
    </w:p>
    <w:p>
      <w:pPr>
        <w:snapToGrid w:val="0"/>
        <w:spacing w:line="360" w:lineRule="auto"/>
        <w:ind w:firstLine="420" w:firstLineChars="200"/>
        <w:rPr>
          <w:rFonts w:ascii="宋体" w:hAnsi="宋体"/>
          <w:bCs/>
        </w:rPr>
      </w:pPr>
      <w:r>
        <w:rPr>
          <w:rFonts w:hint="eastAsia" w:ascii="宋体" w:hAnsi="宋体"/>
          <w:bCs/>
        </w:rPr>
        <w:t>28.1.4投标人不具备招标文件中规定资格要求的；</w:t>
      </w:r>
    </w:p>
    <w:p>
      <w:pPr>
        <w:snapToGrid w:val="0"/>
        <w:spacing w:line="360" w:lineRule="auto"/>
        <w:ind w:firstLine="420" w:firstLineChars="200"/>
        <w:rPr>
          <w:rFonts w:ascii="宋体" w:hAnsi="宋体"/>
          <w:bCs/>
        </w:rPr>
      </w:pPr>
      <w:r>
        <w:rPr>
          <w:rFonts w:hint="eastAsia" w:ascii="宋体" w:hAnsi="宋体"/>
          <w:bCs/>
        </w:rPr>
        <w:t>28.1.5投标人的报价超过了采购预算的；</w:t>
      </w:r>
    </w:p>
    <w:p>
      <w:pPr>
        <w:snapToGrid w:val="0"/>
        <w:spacing w:line="360" w:lineRule="auto"/>
        <w:ind w:firstLine="420" w:firstLineChars="200"/>
        <w:rPr>
          <w:rFonts w:ascii="宋体" w:hAnsi="宋体"/>
          <w:bCs/>
        </w:rPr>
      </w:pPr>
      <w:r>
        <w:rPr>
          <w:rFonts w:hint="eastAsia" w:ascii="宋体" w:hAnsi="宋体"/>
          <w:bCs/>
        </w:rPr>
        <w:t>28.1.6投标人的报价费率均低于采购预算费率的；</w:t>
      </w:r>
    </w:p>
    <w:p>
      <w:pPr>
        <w:snapToGrid w:val="0"/>
        <w:spacing w:line="360" w:lineRule="auto"/>
        <w:ind w:firstLine="420" w:firstLineChars="200"/>
        <w:rPr>
          <w:rFonts w:ascii="宋体" w:hAnsi="宋体"/>
          <w:bCs/>
        </w:rPr>
      </w:pPr>
      <w:r>
        <w:rPr>
          <w:rFonts w:hint="eastAsia" w:ascii="宋体" w:hAnsi="宋体"/>
          <w:bCs/>
        </w:rPr>
        <w:t>未通过符合性检查的；</w:t>
      </w:r>
    </w:p>
    <w:p>
      <w:pPr>
        <w:snapToGrid w:val="0"/>
        <w:spacing w:line="360" w:lineRule="auto"/>
        <w:ind w:firstLine="420" w:firstLineChars="200"/>
        <w:rPr>
          <w:rFonts w:ascii="宋体" w:hAnsi="宋体"/>
          <w:bCs/>
        </w:rPr>
      </w:pPr>
      <w:r>
        <w:rPr>
          <w:rFonts w:hint="eastAsia" w:ascii="宋体" w:hAnsi="宋体"/>
          <w:bCs/>
        </w:rPr>
        <w:t>28.1.7不符合招标文件中规定的其他实质性要求和条件的；</w:t>
      </w:r>
    </w:p>
    <w:p>
      <w:pPr>
        <w:snapToGrid w:val="0"/>
        <w:spacing w:line="360" w:lineRule="auto"/>
        <w:ind w:firstLine="420" w:firstLineChars="200"/>
        <w:rPr>
          <w:rFonts w:ascii="宋体" w:hAnsi="宋体"/>
          <w:bCs/>
        </w:rPr>
      </w:pPr>
      <w:r>
        <w:rPr>
          <w:rFonts w:hint="eastAsia" w:ascii="宋体" w:hAnsi="宋体"/>
          <w:bCs/>
        </w:rPr>
        <w:t>28.1.8其他法律、法规及本招标文件规定的属无效投标的情形。</w:t>
      </w:r>
    </w:p>
    <w:p>
      <w:pPr>
        <w:snapToGrid w:val="0"/>
        <w:spacing w:line="360" w:lineRule="auto"/>
        <w:ind w:firstLine="420" w:firstLineChars="200"/>
        <w:rPr>
          <w:rFonts w:ascii="宋体" w:hAnsi="宋体"/>
          <w:bCs/>
        </w:rPr>
      </w:pPr>
      <w:r>
        <w:rPr>
          <w:rFonts w:hint="eastAsia" w:ascii="宋体" w:hAnsi="宋体"/>
          <w:bCs/>
        </w:rPr>
        <w:t xml:space="preserve">28.2废标条款：                                                                                                                                                                                                                                                                                                                                                                                                                                                                                                                                                                                                                                                                                                                                                                                                                                                                                                                                                                                                                                                                                                                                                                                                                                                                                                                                                                                                                                                                         </w:t>
      </w:r>
    </w:p>
    <w:p>
      <w:pPr>
        <w:snapToGrid w:val="0"/>
        <w:spacing w:line="360" w:lineRule="auto"/>
        <w:ind w:left="478" w:leftChars="203" w:hanging="52" w:hangingChars="25"/>
        <w:rPr>
          <w:rFonts w:ascii="宋体" w:hAnsi="宋体"/>
          <w:bCs/>
        </w:rPr>
      </w:pPr>
      <w:r>
        <w:rPr>
          <w:rFonts w:hint="eastAsia" w:ascii="宋体" w:hAnsi="宋体"/>
          <w:bCs/>
        </w:rPr>
        <w:t>28.2.1符合专业条件的供应商或者对招标文件作实质响应的供应商不足三家的；</w:t>
      </w:r>
    </w:p>
    <w:p>
      <w:pPr>
        <w:snapToGrid w:val="0"/>
        <w:spacing w:line="360" w:lineRule="auto"/>
        <w:ind w:left="478" w:leftChars="203" w:hanging="52" w:hangingChars="25"/>
        <w:rPr>
          <w:rFonts w:ascii="宋体" w:hAnsi="宋体"/>
          <w:bCs/>
        </w:rPr>
      </w:pPr>
      <w:r>
        <w:rPr>
          <w:rFonts w:hint="eastAsia" w:ascii="宋体" w:hAnsi="宋体"/>
          <w:bCs/>
        </w:rPr>
        <w:t>28.2.2出现影响采购公正的违法、违规行为的；</w:t>
      </w:r>
    </w:p>
    <w:p>
      <w:pPr>
        <w:snapToGrid w:val="0"/>
        <w:spacing w:line="360" w:lineRule="auto"/>
        <w:ind w:firstLine="420" w:firstLineChars="200"/>
        <w:rPr>
          <w:rFonts w:ascii="宋体" w:hAnsi="宋体"/>
          <w:bCs/>
        </w:rPr>
      </w:pPr>
      <w:r>
        <w:rPr>
          <w:rFonts w:hint="eastAsia" w:ascii="宋体" w:hAnsi="宋体"/>
          <w:bCs/>
        </w:rPr>
        <w:t>28.2.3投标人的报价均超过最高限价，采购人不能支付的；</w:t>
      </w:r>
    </w:p>
    <w:p>
      <w:pPr>
        <w:snapToGrid w:val="0"/>
        <w:spacing w:line="360" w:lineRule="auto"/>
        <w:ind w:firstLine="420" w:firstLineChars="200"/>
        <w:rPr>
          <w:rFonts w:ascii="宋体" w:hAnsi="宋体"/>
          <w:bCs/>
        </w:rPr>
      </w:pPr>
      <w:r>
        <w:rPr>
          <w:rFonts w:hint="eastAsia" w:ascii="宋体" w:hAnsi="宋体"/>
          <w:bCs/>
        </w:rPr>
        <w:t>28.2.4投标人的报价费率均低于采购人费率的；</w:t>
      </w:r>
    </w:p>
    <w:p>
      <w:pPr>
        <w:snapToGrid w:val="0"/>
        <w:spacing w:line="360" w:lineRule="auto"/>
        <w:ind w:firstLine="420" w:firstLineChars="200"/>
        <w:rPr>
          <w:rFonts w:ascii="宋体" w:hAnsi="宋体"/>
          <w:bCs/>
        </w:rPr>
      </w:pPr>
      <w:r>
        <w:rPr>
          <w:rFonts w:hint="eastAsia" w:ascii="宋体" w:hAnsi="宋体"/>
          <w:bCs/>
        </w:rPr>
        <w:t>28.2.5因重大变故，采购任务取消的；</w:t>
      </w:r>
    </w:p>
    <w:p>
      <w:pPr>
        <w:snapToGrid w:val="0"/>
        <w:spacing w:line="360" w:lineRule="auto"/>
        <w:ind w:firstLine="420" w:firstLineChars="200"/>
        <w:rPr>
          <w:rFonts w:ascii="宋体" w:hAnsi="宋体"/>
          <w:bCs/>
        </w:rPr>
      </w:pPr>
      <w:r>
        <w:rPr>
          <w:rFonts w:hint="eastAsia" w:ascii="宋体" w:hAnsi="宋体"/>
          <w:bCs/>
        </w:rPr>
        <w:t>28.2.6评标委员会认定招标文件存在歧义、 重大缺陷导致评审工作无法进行。</w:t>
      </w:r>
    </w:p>
    <w:p>
      <w:pPr>
        <w:snapToGrid w:val="0"/>
        <w:spacing w:line="360" w:lineRule="auto"/>
        <w:ind w:firstLine="420" w:firstLineChars="200"/>
        <w:rPr>
          <w:rFonts w:ascii="宋体" w:hAnsi="宋体"/>
          <w:bCs/>
        </w:rPr>
      </w:pPr>
      <w:r>
        <w:rPr>
          <w:rFonts w:hint="eastAsia" w:ascii="宋体" w:hAnsi="宋体"/>
          <w:bCs/>
        </w:rPr>
        <w:t>28.3 投标截止时间结束后参加投标的供应商不足三家的处理：</w:t>
      </w:r>
    </w:p>
    <w:p>
      <w:pPr>
        <w:snapToGrid w:val="0"/>
        <w:spacing w:line="360" w:lineRule="auto"/>
        <w:ind w:firstLine="420" w:firstLineChars="200"/>
        <w:rPr>
          <w:rFonts w:ascii="宋体" w:hAnsi="宋体"/>
          <w:bCs/>
        </w:rPr>
      </w:pPr>
      <w:r>
        <w:rPr>
          <w:rFonts w:hint="eastAsia" w:ascii="宋体" w:hAnsi="宋体"/>
          <w:bCs/>
        </w:rPr>
        <w:t>28.3.1如出现投标截止时间结束后参加投标的供应商或者在评标期间对招标文件</w:t>
      </w:r>
    </w:p>
    <w:p>
      <w:pPr>
        <w:snapToGrid w:val="0"/>
        <w:spacing w:line="360" w:lineRule="auto"/>
        <w:ind w:firstLine="420" w:firstLineChars="200"/>
        <w:rPr>
          <w:rFonts w:ascii="宋体" w:hAnsi="宋体"/>
          <w:bCs/>
        </w:rPr>
      </w:pPr>
      <w:r>
        <w:rPr>
          <w:rFonts w:hint="eastAsia" w:ascii="宋体" w:hAnsi="宋体"/>
          <w:bCs/>
        </w:rPr>
        <w:t>做出实质性响应的供应商不足三家情况，按照财政部第87号令第四十三条的规定执行。</w:t>
      </w:r>
    </w:p>
    <w:p>
      <w:pPr>
        <w:snapToGrid w:val="0"/>
        <w:spacing w:line="360" w:lineRule="auto"/>
        <w:jc w:val="center"/>
        <w:outlineLvl w:val="1"/>
        <w:rPr>
          <w:rFonts w:ascii="宋体" w:hAnsi="宋体"/>
          <w:b/>
          <w:sz w:val="30"/>
          <w:szCs w:val="30"/>
        </w:rPr>
      </w:pPr>
      <w:bookmarkStart w:id="139" w:name="_Toc120614219"/>
      <w:r>
        <w:rPr>
          <w:rFonts w:hint="eastAsia" w:ascii="宋体" w:hAnsi="宋体"/>
          <w:b/>
          <w:sz w:val="30"/>
          <w:szCs w:val="30"/>
        </w:rPr>
        <w:t>六、</w:t>
      </w:r>
      <w:bookmarkEnd w:id="136"/>
      <w:bookmarkEnd w:id="137"/>
      <w:bookmarkEnd w:id="138"/>
      <w:r>
        <w:rPr>
          <w:rFonts w:hint="eastAsia" w:ascii="宋体" w:hAnsi="宋体"/>
          <w:b/>
          <w:sz w:val="30"/>
          <w:szCs w:val="30"/>
        </w:rPr>
        <w:t>定标</w:t>
      </w:r>
      <w:bookmarkEnd w:id="139"/>
    </w:p>
    <w:p>
      <w:pPr>
        <w:pStyle w:val="111"/>
        <w:snapToGrid w:val="0"/>
        <w:spacing w:line="360" w:lineRule="auto"/>
        <w:rPr>
          <w:sz w:val="21"/>
          <w:szCs w:val="21"/>
        </w:rPr>
      </w:pPr>
      <w:bookmarkStart w:id="140" w:name="_Toc513029238"/>
      <w:bookmarkStart w:id="141" w:name="_Toc16938554"/>
      <w:bookmarkStart w:id="142" w:name="_Toc20823310"/>
      <w:r>
        <w:rPr>
          <w:rFonts w:hint="eastAsia"/>
          <w:sz w:val="21"/>
          <w:szCs w:val="21"/>
        </w:rPr>
        <w:t>29、</w:t>
      </w:r>
      <w:bookmarkEnd w:id="140"/>
      <w:r>
        <w:rPr>
          <w:rFonts w:hint="eastAsia"/>
          <w:sz w:val="21"/>
          <w:szCs w:val="21"/>
        </w:rPr>
        <w:t>确定</w:t>
      </w:r>
      <w:bookmarkEnd w:id="141"/>
      <w:bookmarkEnd w:id="142"/>
      <w:r>
        <w:rPr>
          <w:rFonts w:hint="eastAsia"/>
          <w:sz w:val="21"/>
          <w:szCs w:val="21"/>
        </w:rPr>
        <w:t>中标单位</w:t>
      </w:r>
    </w:p>
    <w:p>
      <w:pPr>
        <w:snapToGrid w:val="0"/>
        <w:spacing w:line="360" w:lineRule="auto"/>
        <w:ind w:firstLine="420" w:firstLineChars="200"/>
        <w:rPr>
          <w:rFonts w:ascii="宋体" w:hAnsi="宋体"/>
          <w:bCs/>
        </w:rPr>
      </w:pPr>
      <w:r>
        <w:rPr>
          <w:rFonts w:hint="eastAsia" w:ascii="宋体" w:hAnsi="宋体"/>
          <w:bCs/>
        </w:rPr>
        <w:t>29.1评委会根据本招标文件规定评分办法与评分标准评出中标人。</w:t>
      </w:r>
    </w:p>
    <w:p>
      <w:pPr>
        <w:snapToGrid w:val="0"/>
        <w:spacing w:line="360" w:lineRule="auto"/>
        <w:ind w:firstLine="420" w:firstLineChars="200"/>
        <w:rPr>
          <w:rFonts w:ascii="宋体" w:hAnsi="宋体"/>
          <w:b/>
          <w:bCs/>
        </w:rPr>
      </w:pPr>
      <w:r>
        <w:rPr>
          <w:rFonts w:hint="eastAsia" w:ascii="宋体" w:hAnsi="宋体"/>
          <w:bCs/>
        </w:rPr>
        <w:t>29.2</w:t>
      </w:r>
      <w:r>
        <w:rPr>
          <w:rFonts w:hint="eastAsia" w:ascii="宋体" w:hAnsi="宋体"/>
          <w:b/>
          <w:bCs/>
        </w:rPr>
        <w:t>若有充分证据证明，中标人出现下列情况之一的，一经查实，将被取消中标资格：</w:t>
      </w:r>
    </w:p>
    <w:p>
      <w:pPr>
        <w:snapToGrid w:val="0"/>
        <w:spacing w:line="360" w:lineRule="auto"/>
        <w:ind w:firstLine="420" w:firstLineChars="200"/>
        <w:rPr>
          <w:rFonts w:ascii="宋体" w:hAnsi="宋体"/>
          <w:bCs/>
        </w:rPr>
      </w:pPr>
      <w:r>
        <w:rPr>
          <w:rFonts w:hint="eastAsia" w:ascii="宋体" w:hAnsi="宋体"/>
          <w:bCs/>
        </w:rPr>
        <w:t>29.2.1提供虚假材料谋取中标的；</w:t>
      </w:r>
    </w:p>
    <w:p>
      <w:pPr>
        <w:snapToGrid w:val="0"/>
        <w:spacing w:line="360" w:lineRule="auto"/>
        <w:ind w:firstLine="420" w:firstLineChars="200"/>
        <w:rPr>
          <w:rFonts w:ascii="宋体" w:hAnsi="宋体"/>
          <w:bCs/>
        </w:rPr>
      </w:pPr>
      <w:r>
        <w:rPr>
          <w:rFonts w:hint="eastAsia" w:ascii="宋体" w:hAnsi="宋体"/>
          <w:bCs/>
        </w:rPr>
        <w:t>29.2.2向采购人、代理机构行贿或者提供其他不正当利益的；</w:t>
      </w:r>
    </w:p>
    <w:p>
      <w:pPr>
        <w:snapToGrid w:val="0"/>
        <w:spacing w:line="360" w:lineRule="auto"/>
        <w:ind w:firstLine="420" w:firstLineChars="200"/>
        <w:rPr>
          <w:rFonts w:ascii="宋体" w:hAnsi="宋体"/>
          <w:bCs/>
        </w:rPr>
      </w:pPr>
      <w:r>
        <w:rPr>
          <w:rFonts w:hint="eastAsia" w:ascii="宋体" w:hAnsi="宋体"/>
          <w:bCs/>
        </w:rPr>
        <w:t>29.2.3恶意竞争，投标总报价明显低于其自身合理成本且又无法提供证明的；</w:t>
      </w:r>
    </w:p>
    <w:p>
      <w:pPr>
        <w:snapToGrid w:val="0"/>
        <w:spacing w:line="360" w:lineRule="auto"/>
        <w:ind w:firstLine="420" w:firstLineChars="200"/>
        <w:rPr>
          <w:rFonts w:ascii="宋体" w:hAnsi="宋体"/>
          <w:bCs/>
        </w:rPr>
      </w:pPr>
      <w:r>
        <w:rPr>
          <w:rFonts w:hint="eastAsia" w:ascii="宋体" w:hAnsi="宋体"/>
          <w:bCs/>
        </w:rPr>
        <w:t>29.2.4属于本文件规定的无效条件，但在评标过程中又未被评委会发现的；</w:t>
      </w:r>
    </w:p>
    <w:p>
      <w:pPr>
        <w:snapToGrid w:val="0"/>
        <w:spacing w:line="360" w:lineRule="auto"/>
        <w:ind w:firstLine="420" w:firstLineChars="200"/>
        <w:rPr>
          <w:rFonts w:ascii="宋体" w:hAnsi="宋体"/>
          <w:bCs/>
        </w:rPr>
      </w:pPr>
      <w:r>
        <w:rPr>
          <w:rFonts w:hint="eastAsia" w:ascii="宋体" w:hAnsi="宋体"/>
          <w:bCs/>
        </w:rPr>
        <w:t>29.2.5与采购人或者其他供应商恶意串通的；</w:t>
      </w:r>
    </w:p>
    <w:p>
      <w:pPr>
        <w:snapToGrid w:val="0"/>
        <w:spacing w:line="360" w:lineRule="auto"/>
        <w:ind w:firstLine="420" w:firstLineChars="200"/>
        <w:rPr>
          <w:rFonts w:ascii="宋体" w:hAnsi="宋体"/>
          <w:bCs/>
        </w:rPr>
      </w:pPr>
      <w:r>
        <w:rPr>
          <w:rFonts w:hint="eastAsia" w:ascii="宋体" w:hAnsi="宋体"/>
          <w:bCs/>
        </w:rPr>
        <w:t>29.2.6采取不正当手段诋毁、排挤其他供应商的；</w:t>
      </w:r>
    </w:p>
    <w:p>
      <w:pPr>
        <w:snapToGrid w:val="0"/>
        <w:spacing w:line="360" w:lineRule="auto"/>
        <w:ind w:firstLine="420" w:firstLineChars="200"/>
        <w:rPr>
          <w:rFonts w:ascii="宋体" w:hAnsi="宋体"/>
          <w:bCs/>
        </w:rPr>
      </w:pPr>
      <w:r>
        <w:rPr>
          <w:rFonts w:hint="eastAsia" w:ascii="宋体" w:hAnsi="宋体"/>
          <w:bCs/>
        </w:rPr>
        <w:t>29.2.7不符合法律、法规的规定的。</w:t>
      </w:r>
      <w:bookmarkStart w:id="143" w:name="_Toc200451960"/>
    </w:p>
    <w:p>
      <w:pPr>
        <w:snapToGrid w:val="0"/>
        <w:spacing w:line="360" w:lineRule="auto"/>
        <w:ind w:firstLine="420" w:firstLineChars="200"/>
        <w:rPr>
          <w:rFonts w:ascii="宋体" w:hAnsi="宋体"/>
          <w:bCs/>
        </w:rPr>
      </w:pPr>
      <w:r>
        <w:rPr>
          <w:rFonts w:hint="eastAsia" w:ascii="宋体" w:hAnsi="宋体"/>
          <w:bCs/>
        </w:rPr>
        <w:t>29.2.8中标公示期间，招标人将对中标候选人进行实地考察，主要实地考察中标候选人投标文件的真实性和实际生产能力和管理水平。如中标候选人通不过实地考察，则取消中标候选人的中标资格，重新招标。</w:t>
      </w:r>
    </w:p>
    <w:p>
      <w:pPr>
        <w:snapToGrid w:val="0"/>
        <w:spacing w:line="360" w:lineRule="auto"/>
        <w:ind w:firstLine="420" w:firstLineChars="200"/>
        <w:rPr>
          <w:rFonts w:ascii="宋体" w:hAnsi="宋体"/>
          <w:b/>
          <w:bCs/>
        </w:rPr>
      </w:pPr>
      <w:r>
        <w:rPr>
          <w:rFonts w:hint="eastAsia" w:ascii="宋体" w:hAnsi="宋体"/>
          <w:bCs/>
        </w:rPr>
        <w:t>29.3</w:t>
      </w:r>
      <w:r>
        <w:rPr>
          <w:rFonts w:ascii="宋体" w:hAnsi="宋体"/>
          <w:b/>
          <w:bCs/>
        </w:rPr>
        <w:t>有下列情形之一的，属于恶意串通</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29.3.1</w:t>
      </w:r>
      <w:r>
        <w:rPr>
          <w:rFonts w:ascii="宋体" w:hAnsi="宋体"/>
          <w:bCs/>
        </w:rPr>
        <w:t>供应商直接或者间接从采购人或者采购代理机构处获得其他供应商的相关情况并修改其投标文件或者响应文件；</w:t>
      </w:r>
    </w:p>
    <w:p>
      <w:pPr>
        <w:snapToGrid w:val="0"/>
        <w:spacing w:line="360" w:lineRule="auto"/>
        <w:ind w:firstLine="420" w:firstLineChars="200"/>
        <w:rPr>
          <w:rFonts w:ascii="宋体" w:hAnsi="宋体"/>
          <w:bCs/>
        </w:rPr>
      </w:pPr>
      <w:r>
        <w:rPr>
          <w:rFonts w:hint="eastAsia" w:ascii="宋体" w:hAnsi="宋体"/>
          <w:bCs/>
        </w:rPr>
        <w:t>29.3.2</w:t>
      </w:r>
      <w:r>
        <w:rPr>
          <w:rFonts w:ascii="宋体" w:hAnsi="宋体"/>
          <w:bCs/>
        </w:rPr>
        <w:t>供应商按照采购人或者采购代理机构的授意撤换、修改投标文件或者响应文件；</w:t>
      </w:r>
    </w:p>
    <w:p>
      <w:pPr>
        <w:snapToGrid w:val="0"/>
        <w:spacing w:line="360" w:lineRule="auto"/>
        <w:ind w:firstLine="420" w:firstLineChars="200"/>
        <w:rPr>
          <w:rFonts w:ascii="宋体" w:hAnsi="宋体"/>
          <w:bCs/>
        </w:rPr>
      </w:pPr>
      <w:r>
        <w:rPr>
          <w:rFonts w:hint="eastAsia" w:ascii="宋体" w:hAnsi="宋体"/>
          <w:bCs/>
        </w:rPr>
        <w:t>29.3.3</w:t>
      </w:r>
      <w:r>
        <w:rPr>
          <w:rFonts w:ascii="宋体" w:hAnsi="宋体"/>
          <w:bCs/>
        </w:rPr>
        <w:t>供应商之间协商报价、技术方案等投标文件或者响应文件的实质性内容；</w:t>
      </w:r>
    </w:p>
    <w:p>
      <w:pPr>
        <w:snapToGrid w:val="0"/>
        <w:spacing w:line="360" w:lineRule="auto"/>
        <w:ind w:firstLine="420" w:firstLineChars="200"/>
        <w:rPr>
          <w:rFonts w:ascii="宋体" w:hAnsi="宋体"/>
          <w:bCs/>
        </w:rPr>
      </w:pPr>
      <w:r>
        <w:rPr>
          <w:rFonts w:hint="eastAsia" w:ascii="宋体" w:hAnsi="宋体"/>
          <w:bCs/>
        </w:rPr>
        <w:t>29.3.4</w:t>
      </w:r>
      <w:r>
        <w:rPr>
          <w:rFonts w:ascii="宋体" w:hAnsi="宋体"/>
          <w:bCs/>
        </w:rPr>
        <w:t>属于同一集团、协会、商会等组织成员的供应商按照该组织要求协同参加政府采购活动；</w:t>
      </w:r>
    </w:p>
    <w:p>
      <w:pPr>
        <w:snapToGrid w:val="0"/>
        <w:spacing w:line="360" w:lineRule="auto"/>
        <w:ind w:firstLine="420" w:firstLineChars="200"/>
        <w:rPr>
          <w:rFonts w:ascii="宋体" w:hAnsi="宋体"/>
          <w:bCs/>
        </w:rPr>
      </w:pPr>
      <w:r>
        <w:rPr>
          <w:rFonts w:hint="eastAsia" w:ascii="宋体" w:hAnsi="宋体"/>
          <w:bCs/>
        </w:rPr>
        <w:t>29.3.5</w:t>
      </w:r>
      <w:r>
        <w:rPr>
          <w:rFonts w:ascii="宋体" w:hAnsi="宋体"/>
          <w:bCs/>
        </w:rPr>
        <w:t>供应商之间事先约定由某一特定供应商中标、成交；</w:t>
      </w:r>
    </w:p>
    <w:p>
      <w:pPr>
        <w:snapToGrid w:val="0"/>
        <w:spacing w:line="360" w:lineRule="auto"/>
        <w:ind w:firstLine="420" w:firstLineChars="200"/>
        <w:rPr>
          <w:rFonts w:ascii="宋体" w:hAnsi="宋体"/>
          <w:bCs/>
        </w:rPr>
      </w:pPr>
      <w:r>
        <w:rPr>
          <w:rFonts w:hint="eastAsia" w:ascii="宋体" w:hAnsi="宋体"/>
          <w:bCs/>
        </w:rPr>
        <w:t>29.3.6</w:t>
      </w:r>
      <w:r>
        <w:rPr>
          <w:rFonts w:ascii="宋体" w:hAnsi="宋体"/>
          <w:bCs/>
        </w:rPr>
        <w:t>供应商之间商定部分供应商放弃参加政府采购活动或者放弃中标、成交；</w:t>
      </w:r>
    </w:p>
    <w:p>
      <w:pPr>
        <w:snapToGrid w:val="0"/>
        <w:spacing w:line="360" w:lineRule="auto"/>
        <w:ind w:firstLine="420" w:firstLineChars="200"/>
        <w:rPr>
          <w:rFonts w:ascii="宋体" w:hAnsi="宋体"/>
          <w:bCs/>
        </w:rPr>
      </w:pPr>
      <w:r>
        <w:rPr>
          <w:rFonts w:hint="eastAsia" w:ascii="宋体" w:hAnsi="宋体"/>
          <w:bCs/>
        </w:rPr>
        <w:t>29.3.7</w:t>
      </w:r>
      <w:r>
        <w:rPr>
          <w:rFonts w:ascii="宋体" w:hAnsi="宋体"/>
          <w:bCs/>
        </w:rPr>
        <w:t>供应商与采购人或者采购代理机构之间、供应商相互之间，为谋求特定供应商中标、成交或者排斥其他供应商的其他串通行为。</w:t>
      </w:r>
    </w:p>
    <w:p>
      <w:pPr>
        <w:pStyle w:val="16"/>
        <w:snapToGrid w:val="0"/>
        <w:spacing w:line="360" w:lineRule="auto"/>
        <w:ind w:firstLine="422" w:firstLineChars="200"/>
        <w:rPr>
          <w:rFonts w:ascii="宋体" w:hAnsi="宋体" w:eastAsia="宋体"/>
          <w:b/>
          <w:sz w:val="21"/>
          <w:szCs w:val="21"/>
        </w:rPr>
      </w:pPr>
      <w:r>
        <w:rPr>
          <w:rFonts w:hint="eastAsia" w:ascii="宋体" w:hAnsi="宋体" w:eastAsia="宋体"/>
          <w:b/>
          <w:sz w:val="21"/>
          <w:szCs w:val="21"/>
        </w:rPr>
        <w:t>30、质疑处理</w:t>
      </w:r>
      <w:bookmarkEnd w:id="143"/>
    </w:p>
    <w:p>
      <w:pPr>
        <w:snapToGrid w:val="0"/>
        <w:spacing w:line="360" w:lineRule="auto"/>
        <w:ind w:firstLine="420" w:firstLineChars="200"/>
        <w:rPr>
          <w:rFonts w:ascii="宋体" w:hAnsi="宋体"/>
          <w:bCs/>
        </w:rPr>
      </w:pPr>
      <w:r>
        <w:rPr>
          <w:rFonts w:hint="eastAsia" w:ascii="宋体" w:hAnsi="宋体"/>
          <w:bCs/>
        </w:rPr>
        <w:t>30.1参加投标供应商认为采购文件、采购过程和采购结果使自己的权益受到损害的，</w:t>
      </w:r>
      <w:r>
        <w:rPr>
          <w:rFonts w:hint="eastAsia" w:ascii="宋体" w:hAnsi="宋体"/>
          <w:b/>
          <w:bCs/>
        </w:rPr>
        <w:t>可以在知道或应知其权益受到损害之日起七个工作日内</w:t>
      </w:r>
      <w:r>
        <w:rPr>
          <w:rFonts w:hint="eastAsia" w:ascii="宋体" w:hAnsi="宋体"/>
          <w:bCs/>
        </w:rPr>
        <w:t>，以书面形式向代理机构或采购人提出质疑。上述应知其权益受到损害之日，是指：</w:t>
      </w:r>
    </w:p>
    <w:p>
      <w:pPr>
        <w:snapToGrid w:val="0"/>
        <w:spacing w:line="360" w:lineRule="auto"/>
        <w:ind w:firstLine="420" w:firstLineChars="200"/>
        <w:rPr>
          <w:rFonts w:ascii="宋体" w:hAnsi="宋体"/>
          <w:bCs/>
        </w:rPr>
      </w:pPr>
      <w:r>
        <w:rPr>
          <w:rFonts w:hint="eastAsia" w:ascii="宋体" w:hAnsi="宋体"/>
          <w:bCs/>
        </w:rPr>
        <w:t>30.1.1</w:t>
      </w:r>
      <w:r>
        <w:rPr>
          <w:rFonts w:ascii="宋体" w:hAnsi="宋体"/>
          <w:bCs/>
        </w:rPr>
        <w:t>对可以质疑的采购文件提出质疑的，为收到采购文件之日或者采购文件公告期限届满之日；</w:t>
      </w:r>
      <w:r>
        <w:rPr>
          <w:rFonts w:ascii="宋体" w:hAnsi="宋体"/>
          <w:bCs/>
        </w:rPr>
        <w:br w:type="textWrapping"/>
      </w:r>
      <w:r>
        <w:rPr>
          <w:rFonts w:ascii="宋体" w:hAnsi="宋体"/>
          <w:bCs/>
        </w:rPr>
        <w:t>　　</w:t>
      </w:r>
      <w:r>
        <w:rPr>
          <w:rFonts w:hint="eastAsia" w:ascii="宋体" w:hAnsi="宋体"/>
          <w:bCs/>
        </w:rPr>
        <w:t>30.1.2</w:t>
      </w:r>
      <w:r>
        <w:rPr>
          <w:rFonts w:ascii="宋体" w:hAnsi="宋体"/>
          <w:bCs/>
        </w:rPr>
        <w:t>对采购过程提出质疑的，为各采购程序环节结束之日；</w:t>
      </w:r>
      <w:r>
        <w:rPr>
          <w:rFonts w:ascii="宋体" w:hAnsi="宋体"/>
          <w:bCs/>
        </w:rPr>
        <w:br w:type="textWrapping"/>
      </w:r>
      <w:r>
        <w:rPr>
          <w:rFonts w:ascii="宋体" w:hAnsi="宋体"/>
          <w:bCs/>
        </w:rPr>
        <w:t>　　</w:t>
      </w:r>
      <w:r>
        <w:rPr>
          <w:rFonts w:hint="eastAsia" w:ascii="宋体" w:hAnsi="宋体"/>
          <w:bCs/>
        </w:rPr>
        <w:t>30.1.3</w:t>
      </w:r>
      <w:r>
        <w:rPr>
          <w:rFonts w:ascii="宋体" w:hAnsi="宋体"/>
          <w:bCs/>
        </w:rPr>
        <w:t>对中标或者成交结果提出质疑的，为中标或者成交结果公告期限届满之日。</w:t>
      </w:r>
    </w:p>
    <w:p>
      <w:pPr>
        <w:snapToGrid w:val="0"/>
        <w:spacing w:line="360" w:lineRule="auto"/>
        <w:ind w:firstLine="420" w:firstLineChars="200"/>
        <w:rPr>
          <w:rFonts w:ascii="宋体" w:hAnsi="宋体"/>
          <w:bCs/>
        </w:rPr>
      </w:pPr>
      <w:r>
        <w:rPr>
          <w:rFonts w:hint="eastAsia" w:ascii="宋体" w:hAnsi="宋体"/>
          <w:bCs/>
        </w:rPr>
        <w:t>30.2质疑必须以参加投标供应商法定代表人或授权代表（投标文件中所确定的）原件送达的方式提交，未按上述要求提交的质疑函（含传真、电子邮件等）代理机构有权不予受理。</w:t>
      </w:r>
    </w:p>
    <w:p>
      <w:pPr>
        <w:snapToGrid w:val="0"/>
        <w:spacing w:line="360" w:lineRule="auto"/>
        <w:ind w:firstLine="420" w:firstLineChars="200"/>
        <w:rPr>
          <w:rFonts w:ascii="宋体" w:hAnsi="宋体"/>
          <w:bCs/>
        </w:rPr>
      </w:pPr>
      <w:r>
        <w:rPr>
          <w:rFonts w:hint="eastAsia" w:ascii="宋体" w:hAnsi="宋体"/>
          <w:bCs/>
        </w:rPr>
        <w:t>30.3未参加投标活动的供应商或在投标活动中自身权益未受到损害的供应商所提出的质疑不予受理。</w:t>
      </w:r>
    </w:p>
    <w:p>
      <w:pPr>
        <w:snapToGrid w:val="0"/>
        <w:spacing w:line="360" w:lineRule="auto"/>
        <w:ind w:firstLine="420" w:firstLineChars="200"/>
        <w:rPr>
          <w:rFonts w:ascii="宋体" w:hAnsi="宋体"/>
          <w:b/>
          <w:bCs/>
        </w:rPr>
      </w:pPr>
      <w:r>
        <w:rPr>
          <w:rFonts w:hint="eastAsia" w:ascii="宋体" w:hAnsi="宋体"/>
          <w:bCs/>
        </w:rPr>
        <w:t>30.4</w:t>
      </w:r>
      <w:r>
        <w:rPr>
          <w:rFonts w:hint="eastAsia" w:ascii="宋体" w:hAnsi="宋体"/>
          <w:b/>
          <w:bCs/>
        </w:rPr>
        <w:t>质疑函应当包括下列内容：</w:t>
      </w:r>
    </w:p>
    <w:p>
      <w:pPr>
        <w:snapToGrid w:val="0"/>
        <w:spacing w:line="360" w:lineRule="auto"/>
        <w:ind w:firstLine="420" w:firstLineChars="200"/>
        <w:rPr>
          <w:rFonts w:ascii="宋体" w:hAnsi="宋体"/>
          <w:bCs/>
        </w:rPr>
      </w:pPr>
      <w:r>
        <w:rPr>
          <w:rFonts w:hint="eastAsia" w:ascii="宋体" w:hAnsi="宋体"/>
          <w:bCs/>
        </w:rPr>
        <w:t>30.4.1质疑投标人的名称、地址、邮编、联系人、联系电话；</w:t>
      </w:r>
    </w:p>
    <w:p>
      <w:pPr>
        <w:snapToGrid w:val="0"/>
        <w:spacing w:line="360" w:lineRule="auto"/>
        <w:ind w:firstLine="420" w:firstLineChars="200"/>
        <w:rPr>
          <w:rFonts w:ascii="宋体" w:hAnsi="宋体"/>
          <w:bCs/>
        </w:rPr>
      </w:pPr>
      <w:r>
        <w:rPr>
          <w:rFonts w:hint="eastAsia" w:ascii="宋体" w:hAnsi="宋体"/>
          <w:bCs/>
        </w:rPr>
        <w:t>30.4.2具体的质疑事项及明确的请求；</w:t>
      </w:r>
    </w:p>
    <w:p>
      <w:pPr>
        <w:snapToGrid w:val="0"/>
        <w:spacing w:line="360" w:lineRule="auto"/>
        <w:ind w:firstLine="420" w:firstLineChars="200"/>
        <w:rPr>
          <w:rFonts w:ascii="宋体" w:hAnsi="宋体"/>
          <w:bCs/>
        </w:rPr>
      </w:pPr>
      <w:r>
        <w:rPr>
          <w:rFonts w:hint="eastAsia" w:ascii="宋体" w:hAnsi="宋体"/>
          <w:bCs/>
        </w:rPr>
        <w:t>30.4.3认为自己合法权益受到损害或可能受到损害的相关证据材料；</w:t>
      </w:r>
    </w:p>
    <w:p>
      <w:pPr>
        <w:snapToGrid w:val="0"/>
        <w:spacing w:line="360" w:lineRule="auto"/>
        <w:ind w:firstLine="420" w:firstLineChars="200"/>
        <w:rPr>
          <w:rFonts w:ascii="宋体" w:hAnsi="宋体"/>
          <w:bCs/>
        </w:rPr>
      </w:pPr>
      <w:r>
        <w:rPr>
          <w:rFonts w:hint="eastAsia" w:ascii="宋体" w:hAnsi="宋体"/>
          <w:bCs/>
        </w:rPr>
        <w:t>30.4.4提起质疑的日期；</w:t>
      </w:r>
    </w:p>
    <w:p>
      <w:pPr>
        <w:snapToGrid w:val="0"/>
        <w:spacing w:line="360" w:lineRule="auto"/>
        <w:ind w:firstLine="420" w:firstLineChars="200"/>
        <w:rPr>
          <w:rFonts w:ascii="宋体" w:hAnsi="宋体"/>
          <w:bCs/>
        </w:rPr>
      </w:pPr>
      <w:r>
        <w:rPr>
          <w:rFonts w:hint="eastAsia" w:ascii="宋体" w:hAnsi="宋体"/>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napToGrid w:val="0"/>
        <w:spacing w:line="360" w:lineRule="auto"/>
        <w:ind w:firstLine="420" w:firstLineChars="200"/>
        <w:rPr>
          <w:rFonts w:ascii="宋体" w:hAnsi="宋体"/>
          <w:bCs/>
        </w:rPr>
      </w:pPr>
      <w:r>
        <w:rPr>
          <w:rFonts w:hint="eastAsia" w:ascii="宋体" w:hAnsi="宋体"/>
          <w:bCs/>
        </w:rPr>
        <w:t>30.5代理机构收到质疑函后，将对质疑的形式和内容进行审查，如质疑函内容、格式不符合规定，代理机构将告知质疑人进行补正。</w:t>
      </w:r>
    </w:p>
    <w:p>
      <w:pPr>
        <w:snapToGrid w:val="0"/>
        <w:spacing w:line="360" w:lineRule="auto"/>
        <w:ind w:firstLine="420" w:firstLineChars="200"/>
        <w:rPr>
          <w:rFonts w:ascii="宋体" w:hAnsi="宋体"/>
          <w:bCs/>
        </w:rPr>
      </w:pPr>
      <w:r>
        <w:rPr>
          <w:rFonts w:hint="eastAsia" w:ascii="宋体" w:hAnsi="宋体"/>
          <w:bCs/>
        </w:rPr>
        <w:t>30.6质疑人应当在法定质疑期限内进行补正并重新提交质疑函，拒不补正或者在法定期限内未重新提交质疑函的，为无效质疑，代理机构有权不予受理。</w:t>
      </w:r>
    </w:p>
    <w:p>
      <w:pPr>
        <w:snapToGrid w:val="0"/>
        <w:spacing w:line="360" w:lineRule="auto"/>
        <w:ind w:firstLine="420" w:firstLineChars="200"/>
        <w:rPr>
          <w:rFonts w:ascii="宋体" w:hAnsi="宋体"/>
          <w:bCs/>
        </w:rPr>
      </w:pPr>
      <w:r>
        <w:rPr>
          <w:rFonts w:hint="eastAsia" w:ascii="宋体" w:hAnsi="宋体"/>
          <w:bCs/>
        </w:rPr>
        <w:t>30.7对于内容、格式符合规定的质疑函，</w:t>
      </w:r>
      <w:r>
        <w:rPr>
          <w:rFonts w:hint="eastAsia" w:ascii="宋体" w:hAnsi="宋体"/>
          <w:b/>
          <w:bCs/>
        </w:rPr>
        <w:t>代理机构应当在收到投标供应商的书面质疑后七个工作日内作出答复</w:t>
      </w:r>
      <w:r>
        <w:rPr>
          <w:rFonts w:hint="eastAsia" w:ascii="宋体" w:hAnsi="宋体"/>
          <w:bCs/>
        </w:rPr>
        <w:t>，并以书面形式通知质疑供应商和其他有关供应商，但答复的内容不得涉及商业秘密。</w:t>
      </w:r>
    </w:p>
    <w:p>
      <w:pPr>
        <w:snapToGrid w:val="0"/>
        <w:spacing w:line="360" w:lineRule="auto"/>
        <w:ind w:firstLine="420" w:firstLineChars="200"/>
        <w:rPr>
          <w:rFonts w:ascii="宋体" w:hAnsi="宋体"/>
          <w:bCs/>
        </w:rPr>
      </w:pPr>
      <w:r>
        <w:rPr>
          <w:rFonts w:hint="eastAsia" w:ascii="宋体" w:hAnsi="宋体"/>
          <w:bCs/>
        </w:rPr>
        <w:t>30.8投标人提出书面质疑必须有理、有据，不得恶意质疑或提交虚假质疑。否则，一经查实，代理机构有权依据《江苏省政府采购供应商监督管理暂行办法》的规定，扣减其诚信记录分，并报请政府采购监管部门对该投标人进行相应的行政处罚。</w:t>
      </w:r>
    </w:p>
    <w:p>
      <w:pPr>
        <w:pStyle w:val="16"/>
        <w:snapToGrid w:val="0"/>
        <w:spacing w:line="360" w:lineRule="auto"/>
        <w:rPr>
          <w:rFonts w:ascii="宋体" w:hAnsi="宋体" w:eastAsia="宋体"/>
          <w:b/>
          <w:sz w:val="21"/>
          <w:szCs w:val="21"/>
        </w:rPr>
      </w:pPr>
      <w:r>
        <w:rPr>
          <w:rFonts w:hint="eastAsia" w:ascii="宋体" w:hAnsi="宋体" w:eastAsia="宋体"/>
          <w:b/>
          <w:sz w:val="21"/>
          <w:szCs w:val="21"/>
        </w:rPr>
        <w:t>31、中标通知书</w:t>
      </w:r>
    </w:p>
    <w:p>
      <w:pPr>
        <w:snapToGrid w:val="0"/>
        <w:spacing w:line="360" w:lineRule="auto"/>
        <w:ind w:firstLine="420" w:firstLineChars="200"/>
        <w:rPr>
          <w:rFonts w:ascii="宋体" w:hAnsi="宋体"/>
          <w:bCs/>
        </w:rPr>
      </w:pPr>
      <w:r>
        <w:rPr>
          <w:rFonts w:hint="eastAsia" w:ascii="宋体" w:hAnsi="宋体"/>
          <w:bCs/>
        </w:rPr>
        <w:t>31.l 中标结果确定后，代理机构将向中标供应商、采购人发出中标通知书。</w:t>
      </w:r>
    </w:p>
    <w:p>
      <w:pPr>
        <w:snapToGrid w:val="0"/>
        <w:spacing w:line="360" w:lineRule="auto"/>
        <w:ind w:firstLine="420" w:firstLineChars="200"/>
        <w:rPr>
          <w:rFonts w:ascii="宋体" w:hAnsi="宋体"/>
          <w:bCs/>
        </w:rPr>
      </w:pPr>
      <w:r>
        <w:rPr>
          <w:rFonts w:hint="eastAsia" w:ascii="宋体" w:hAnsi="宋体"/>
          <w:bCs/>
        </w:rPr>
        <w:t>31.2 中标供应商法定代表人或授权代表（投标文件中所确定的）须到代理机构现场签收中标通知书。</w:t>
      </w:r>
    </w:p>
    <w:p>
      <w:pPr>
        <w:snapToGrid w:val="0"/>
        <w:spacing w:line="360" w:lineRule="auto"/>
        <w:ind w:firstLine="420" w:firstLineChars="200"/>
        <w:rPr>
          <w:rFonts w:ascii="宋体" w:hAnsi="宋体"/>
          <w:bCs/>
        </w:rPr>
      </w:pPr>
      <w:r>
        <w:rPr>
          <w:rFonts w:hint="eastAsia" w:ascii="宋体" w:hAnsi="宋体"/>
          <w:bCs/>
        </w:rPr>
        <w:t>31.3中标通知书将是合同的一个组成部分。对采购人和中标供应商均具有法律效力。中标通知书发出后，采购人改变中标结果的，或者中标供应商放弃中标项目的，应当依法承担法律责任。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20" w:firstLineChars="200"/>
        <w:rPr>
          <w:rFonts w:ascii="宋体" w:hAnsi="宋体"/>
          <w:bCs/>
        </w:rPr>
      </w:pPr>
    </w:p>
    <w:p>
      <w:pPr>
        <w:snapToGrid w:val="0"/>
        <w:spacing w:line="360" w:lineRule="auto"/>
        <w:rPr>
          <w:rFonts w:ascii="宋体" w:hAnsi="宋体"/>
          <w:bCs/>
        </w:rPr>
      </w:pPr>
    </w:p>
    <w:p>
      <w:pPr>
        <w:snapToGrid w:val="0"/>
        <w:spacing w:line="360" w:lineRule="auto"/>
        <w:rPr>
          <w:rFonts w:ascii="宋体" w:hAnsi="宋体"/>
          <w:bCs/>
        </w:rPr>
      </w:pPr>
    </w:p>
    <w:p>
      <w:pPr>
        <w:snapToGrid w:val="0"/>
        <w:spacing w:line="360" w:lineRule="auto"/>
        <w:jc w:val="center"/>
        <w:outlineLvl w:val="1"/>
        <w:rPr>
          <w:rFonts w:ascii="宋体" w:hAnsi="宋体"/>
          <w:b/>
          <w:sz w:val="30"/>
          <w:szCs w:val="30"/>
        </w:rPr>
      </w:pPr>
      <w:bookmarkStart w:id="144" w:name="_Toc120614220"/>
      <w:bookmarkStart w:id="145" w:name="_Toc20823308"/>
      <w:bookmarkStart w:id="146" w:name="_Toc16938552"/>
      <w:bookmarkStart w:id="147" w:name="_Toc513029236"/>
      <w:r>
        <w:rPr>
          <w:rFonts w:hint="eastAsia" w:ascii="宋体" w:hAnsi="宋体"/>
          <w:b/>
          <w:sz w:val="30"/>
          <w:szCs w:val="30"/>
        </w:rPr>
        <w:t>七、合同</w:t>
      </w:r>
      <w:bookmarkEnd w:id="144"/>
      <w:r>
        <w:rPr>
          <w:rFonts w:hint="eastAsia" w:ascii="宋体" w:hAnsi="宋体"/>
          <w:b/>
          <w:sz w:val="30"/>
          <w:szCs w:val="30"/>
        </w:rPr>
        <w:t>签订相关事项</w:t>
      </w:r>
    </w:p>
    <w:bookmarkEnd w:id="145"/>
    <w:bookmarkEnd w:id="146"/>
    <w:bookmarkEnd w:id="147"/>
    <w:p>
      <w:pPr>
        <w:pStyle w:val="16"/>
        <w:spacing w:line="360" w:lineRule="auto"/>
        <w:contextualSpacing/>
        <w:rPr>
          <w:rFonts w:ascii="宋体" w:hAnsi="宋体" w:eastAsia="宋体"/>
          <w:b/>
          <w:sz w:val="21"/>
          <w:szCs w:val="21"/>
        </w:rPr>
      </w:pPr>
      <w:bookmarkStart w:id="148" w:name="_Toc513029237"/>
      <w:bookmarkStart w:id="149" w:name="_Toc16938553"/>
      <w:bookmarkStart w:id="150" w:name="_Toc20823309"/>
      <w:r>
        <w:rPr>
          <w:rFonts w:hint="eastAsia" w:ascii="宋体" w:hAnsi="宋体" w:eastAsia="宋体"/>
          <w:b/>
          <w:sz w:val="21"/>
          <w:szCs w:val="21"/>
        </w:rPr>
        <w:t>32. 签订合同</w:t>
      </w:r>
    </w:p>
    <w:p>
      <w:pPr>
        <w:spacing w:line="360" w:lineRule="auto"/>
        <w:ind w:firstLine="420" w:firstLineChars="200"/>
        <w:contextualSpacing/>
        <w:rPr>
          <w:rFonts w:ascii="宋体" w:hAnsi="宋体"/>
          <w:bCs/>
        </w:rPr>
      </w:pPr>
      <w:r>
        <w:rPr>
          <w:rFonts w:hint="eastAsia" w:ascii="宋体" w:hAnsi="宋体"/>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pPr>
        <w:spacing w:line="360" w:lineRule="auto"/>
        <w:ind w:firstLine="420" w:firstLineChars="200"/>
        <w:contextualSpacing/>
        <w:rPr>
          <w:rFonts w:ascii="宋体" w:hAnsi="宋体"/>
          <w:bCs/>
        </w:rPr>
      </w:pPr>
      <w:r>
        <w:rPr>
          <w:rFonts w:hint="eastAsia" w:ascii="宋体" w:hAnsi="宋体"/>
          <w:bCs/>
        </w:rPr>
        <w:t>32.2 招标文件、中标人的投标文件及招标过程中有关澄清、承诺文件均应作为合同附件。</w:t>
      </w:r>
    </w:p>
    <w:p>
      <w:pPr>
        <w:spacing w:line="360" w:lineRule="auto"/>
        <w:ind w:firstLine="420" w:firstLineChars="200"/>
        <w:contextualSpacing/>
        <w:rPr>
          <w:rFonts w:ascii="宋体" w:hAnsi="宋体"/>
          <w:bCs/>
        </w:rPr>
      </w:pPr>
      <w:r>
        <w:rPr>
          <w:rFonts w:hint="eastAsia" w:ascii="宋体" w:hAnsi="宋体"/>
          <w:bCs/>
        </w:rPr>
        <w:t>32.3 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pPr>
        <w:pStyle w:val="16"/>
        <w:spacing w:line="360" w:lineRule="auto"/>
        <w:contextualSpacing/>
        <w:rPr>
          <w:rFonts w:ascii="宋体" w:hAnsi="宋体" w:eastAsia="宋体"/>
          <w:b/>
          <w:sz w:val="21"/>
          <w:szCs w:val="21"/>
        </w:rPr>
      </w:pPr>
      <w:r>
        <w:rPr>
          <w:rFonts w:hint="eastAsia" w:ascii="宋体" w:hAnsi="宋体" w:eastAsia="宋体"/>
          <w:b/>
          <w:sz w:val="21"/>
          <w:szCs w:val="21"/>
        </w:rPr>
        <w:t>33、服务的追加、减少和添购</w:t>
      </w:r>
    </w:p>
    <w:p>
      <w:pPr>
        <w:spacing w:line="360" w:lineRule="auto"/>
        <w:ind w:firstLine="420" w:firstLineChars="200"/>
        <w:contextualSpacing/>
        <w:rPr>
          <w:rFonts w:ascii="宋体" w:hAnsi="宋体"/>
          <w:bCs/>
        </w:rPr>
      </w:pPr>
      <w:r>
        <w:rPr>
          <w:rFonts w:hint="eastAsia" w:ascii="宋体" w:hAnsi="宋体"/>
          <w:bCs/>
        </w:rPr>
        <w:t>33.1本项目合同履行中，采购人需追加与合同标的相同服务的，在不改变合同其他条款的前提下，报主管预算单位和财政部门同意后，可以与中标人协商签订补充合同，但所有补充合同的采购金额不超过原合同金额10%。</w:t>
      </w:r>
    </w:p>
    <w:p>
      <w:pPr>
        <w:spacing w:line="360" w:lineRule="auto"/>
        <w:ind w:firstLine="420" w:firstLineChars="200"/>
        <w:contextualSpacing/>
        <w:rPr>
          <w:rFonts w:ascii="宋体" w:hAnsi="宋体"/>
          <w:bCs/>
        </w:rPr>
      </w:pPr>
      <w:r>
        <w:rPr>
          <w:rFonts w:hint="eastAsia" w:ascii="宋体" w:hAnsi="宋体"/>
          <w:bCs/>
        </w:rPr>
        <w:t>33.2采购结束后，采购人若由于各种客观原因，必须对采购项目所牵涉的服务进行适当的减少时，在双方协商一致的前提下，可以按照招标采购时的价格水平做相应的调减，并据此签订补充合同。</w:t>
      </w:r>
    </w:p>
    <w:p>
      <w:pPr>
        <w:spacing w:line="360" w:lineRule="auto"/>
        <w:ind w:firstLine="422" w:firstLineChars="200"/>
        <w:rPr>
          <w:rFonts w:ascii="宋体" w:hAnsi="宋体"/>
          <w:b/>
        </w:rPr>
      </w:pPr>
      <w:r>
        <w:rPr>
          <w:rFonts w:hint="eastAsia" w:ascii="宋体" w:hAnsi="宋体"/>
          <w:b/>
        </w:rPr>
        <w:t>34、履约保证金：壹万元。转账，中标人须在中标通知书发出后7日内交齐履约保证金后根据招标文件的要求签订合同，否则视为自动放弃中标资格，且投标保证金不予退还。</w:t>
      </w:r>
      <w:r>
        <w:rPr>
          <w:rFonts w:ascii="宋体" w:hAnsi="宋体"/>
          <w:b/>
        </w:rPr>
        <w:t>履约保证金在</w:t>
      </w:r>
      <w:r>
        <w:rPr>
          <w:rFonts w:hint="eastAsia" w:ascii="宋体" w:hAnsi="宋体"/>
          <w:b/>
        </w:rPr>
        <w:t>服务期结束</w:t>
      </w:r>
      <w:r>
        <w:rPr>
          <w:rFonts w:ascii="宋体" w:hAnsi="宋体"/>
          <w:b/>
        </w:rPr>
        <w:t>后按实际履约情况退还（无息）。</w:t>
      </w:r>
    </w:p>
    <w:p>
      <w:pPr>
        <w:pStyle w:val="16"/>
        <w:spacing w:line="360" w:lineRule="auto"/>
        <w:contextualSpacing/>
        <w:rPr>
          <w:rFonts w:ascii="宋体" w:hAnsi="宋体" w:eastAsia="宋体"/>
          <w:b/>
          <w:sz w:val="21"/>
          <w:szCs w:val="21"/>
        </w:rPr>
      </w:pPr>
    </w:p>
    <w:bookmarkEnd w:id="148"/>
    <w:bookmarkEnd w:id="149"/>
    <w:bookmarkEnd w:id="150"/>
    <w:p>
      <w:pPr>
        <w:snapToGrid w:val="0"/>
        <w:spacing w:line="360" w:lineRule="auto"/>
        <w:jc w:val="center"/>
        <w:rPr>
          <w:rFonts w:ascii="宋体" w:hAnsi="宋体"/>
          <w:b/>
          <w:sz w:val="32"/>
          <w:szCs w:val="32"/>
        </w:rPr>
      </w:pPr>
      <w:bookmarkStart w:id="151" w:name="_Toc479757207"/>
      <w:bookmarkStart w:id="152" w:name="_Toc16938558"/>
      <w:bookmarkStart w:id="153" w:name="_Toc479962291"/>
      <w:bookmarkStart w:id="154" w:name="_Toc513029242"/>
      <w:bookmarkStart w:id="155" w:name="_Toc120614221"/>
      <w:bookmarkStart w:id="156" w:name="_Toc20823314"/>
    </w:p>
    <w:p>
      <w:pPr>
        <w:pStyle w:val="16"/>
        <w:spacing w:line="460" w:lineRule="exact"/>
        <w:jc w:val="center"/>
        <w:rPr>
          <w:rFonts w:ascii="宋体" w:hAnsi="宋体" w:eastAsia="宋体"/>
          <w:b/>
        </w:rPr>
      </w:pPr>
      <w:r>
        <w:rPr>
          <w:rFonts w:hint="eastAsia" w:ascii="宋体" w:hAnsi="宋体" w:eastAsia="宋体"/>
          <w:b/>
          <w:sz w:val="30"/>
          <w:szCs w:val="30"/>
        </w:rPr>
        <w:t>八、采购代理服务费</w:t>
      </w:r>
    </w:p>
    <w:p>
      <w:pPr>
        <w:pStyle w:val="16"/>
        <w:spacing w:line="460" w:lineRule="exact"/>
        <w:ind w:firstLine="422" w:firstLineChars="200"/>
        <w:rPr>
          <w:rFonts w:ascii="宋体" w:hAnsi="宋体" w:eastAsia="宋体"/>
          <w:b/>
          <w:bCs/>
          <w:sz w:val="21"/>
          <w:szCs w:val="21"/>
        </w:rPr>
      </w:pPr>
      <w:r>
        <w:rPr>
          <w:rFonts w:hint="eastAsia" w:ascii="宋体" w:hAnsi="宋体" w:eastAsia="宋体"/>
          <w:b/>
          <w:bCs/>
          <w:sz w:val="21"/>
          <w:szCs w:val="21"/>
        </w:rPr>
        <w:t>被确认成交的成交供应商须向采购代理机构支付服务费及评委费。服务费2600元，评委费按实结算 ，中标单位于中标通知书领取时支付。</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rPr>
          <w:rFonts w:ascii="宋体" w:hAnsi="宋体"/>
          <w:b/>
          <w:sz w:val="32"/>
          <w:szCs w:val="32"/>
        </w:rPr>
      </w:pPr>
    </w:p>
    <w:p>
      <w:pPr>
        <w:snapToGrid w:val="0"/>
        <w:spacing w:line="360" w:lineRule="auto"/>
        <w:rPr>
          <w:rFonts w:ascii="宋体" w:hAnsi="宋体"/>
          <w:b/>
          <w:sz w:val="32"/>
          <w:szCs w:val="32"/>
        </w:rPr>
      </w:pPr>
    </w:p>
    <w:p>
      <w:pPr>
        <w:snapToGrid w:val="0"/>
        <w:spacing w:line="360" w:lineRule="auto"/>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第三章    合同条款及格式</w:t>
      </w:r>
    </w:p>
    <w:p>
      <w:pPr>
        <w:snapToGrid w:val="0"/>
        <w:spacing w:line="360" w:lineRule="auto"/>
        <w:jc w:val="center"/>
        <w:rPr>
          <w:rFonts w:ascii="宋体" w:hAnsi="宋体"/>
          <w:b/>
          <w:bCs/>
          <w:sz w:val="24"/>
        </w:rPr>
      </w:pPr>
      <w:r>
        <w:rPr>
          <w:rFonts w:hint="eastAsia" w:ascii="宋体" w:hAnsi="宋体"/>
          <w:b/>
          <w:bCs/>
          <w:sz w:val="24"/>
        </w:rPr>
        <w:t>南通农副产品物流有限公司冷链装卸、进出库作业外包项目</w:t>
      </w:r>
    </w:p>
    <w:p>
      <w:pPr>
        <w:snapToGrid w:val="0"/>
        <w:spacing w:line="360" w:lineRule="auto"/>
        <w:jc w:val="center"/>
        <w:rPr>
          <w:rFonts w:ascii="宋体" w:hAnsi="宋体"/>
          <w:b/>
          <w:bCs/>
          <w:sz w:val="24"/>
        </w:rPr>
      </w:pPr>
      <w:r>
        <w:rPr>
          <w:rFonts w:hint="eastAsia" w:ascii="宋体" w:hAnsi="宋体"/>
          <w:b/>
          <w:bCs/>
          <w:sz w:val="24"/>
        </w:rPr>
        <w:t>采购合同</w:t>
      </w:r>
    </w:p>
    <w:p>
      <w:pPr>
        <w:jc w:val="center"/>
      </w:pPr>
    </w:p>
    <w:bookmarkEnd w:id="151"/>
    <w:bookmarkEnd w:id="152"/>
    <w:bookmarkEnd w:id="153"/>
    <w:bookmarkEnd w:id="154"/>
    <w:bookmarkEnd w:id="155"/>
    <w:bookmarkEnd w:id="156"/>
    <w:p>
      <w:pPr>
        <w:tabs>
          <w:tab w:val="left" w:pos="6570"/>
        </w:tabs>
        <w:spacing w:line="360" w:lineRule="auto"/>
        <w:jc w:val="left"/>
        <w:rPr>
          <w:rFonts w:ascii="宋体" w:hAnsi="宋体"/>
          <w:bCs/>
          <w:sz w:val="24"/>
        </w:rPr>
      </w:pPr>
      <w:bookmarkStart w:id="157" w:name="_Toc16938590"/>
      <w:bookmarkStart w:id="158" w:name="_Hlt16619350"/>
      <w:bookmarkStart w:id="159" w:name="_Toc20823346"/>
      <w:bookmarkStart w:id="160" w:name="_Toc479962292"/>
      <w:bookmarkStart w:id="161" w:name="_Toc120614244"/>
      <w:bookmarkStart w:id="162" w:name="_Toc479757211"/>
      <w:bookmarkStart w:id="163" w:name="_Toc462564139"/>
      <w:r>
        <w:rPr>
          <w:rFonts w:hint="eastAsia" w:ascii="宋体" w:hAnsi="宋体"/>
          <w:bCs/>
          <w:sz w:val="24"/>
        </w:rPr>
        <w:t>甲方：南通农副产品物流有限公司</w:t>
      </w:r>
    </w:p>
    <w:p>
      <w:pPr>
        <w:tabs>
          <w:tab w:val="left" w:pos="6570"/>
        </w:tabs>
        <w:spacing w:line="360" w:lineRule="auto"/>
        <w:jc w:val="left"/>
        <w:rPr>
          <w:rFonts w:ascii="宋体" w:hAnsi="宋体"/>
          <w:bCs/>
          <w:sz w:val="24"/>
        </w:rPr>
      </w:pPr>
      <w:r>
        <w:rPr>
          <w:rFonts w:hint="eastAsia" w:ascii="宋体" w:hAnsi="宋体"/>
          <w:bCs/>
          <w:sz w:val="24"/>
        </w:rPr>
        <w:t>乙方：</w:t>
      </w:r>
    </w:p>
    <w:p>
      <w:pPr>
        <w:tabs>
          <w:tab w:val="left" w:pos="6570"/>
        </w:tabs>
        <w:spacing w:line="360" w:lineRule="auto"/>
        <w:ind w:firstLine="480" w:firstLineChars="200"/>
        <w:jc w:val="left"/>
        <w:rPr>
          <w:rFonts w:ascii="宋体" w:hAnsi="宋体"/>
          <w:bCs/>
          <w:sz w:val="24"/>
        </w:rPr>
      </w:pPr>
      <w:r>
        <w:rPr>
          <w:rFonts w:hint="eastAsia" w:ascii="宋体" w:hAnsi="宋体"/>
          <w:bCs/>
          <w:sz w:val="24"/>
        </w:rPr>
        <w:t>甲方根据生产经营需要，通过招标方式确定将所需冷库装卸、进出库作业外包给乙方，根据《劳动法》和《合同法》等有关法律法规，经过甲乙双方协商达成如下协议：</w:t>
      </w:r>
    </w:p>
    <w:p>
      <w:pPr>
        <w:tabs>
          <w:tab w:val="left" w:pos="6570"/>
        </w:tabs>
        <w:spacing w:line="360" w:lineRule="auto"/>
        <w:jc w:val="left"/>
        <w:rPr>
          <w:rFonts w:ascii="宋体" w:hAnsi="宋体"/>
          <w:bCs/>
          <w:sz w:val="24"/>
        </w:rPr>
      </w:pPr>
      <w:r>
        <w:rPr>
          <w:rFonts w:hint="eastAsia" w:ascii="宋体" w:hAnsi="宋体"/>
          <w:bCs/>
          <w:sz w:val="24"/>
        </w:rPr>
        <w:t>一、劳务外包的期限</w:t>
      </w:r>
    </w:p>
    <w:p>
      <w:pPr>
        <w:tabs>
          <w:tab w:val="left" w:pos="6570"/>
        </w:tabs>
        <w:spacing w:line="360" w:lineRule="auto"/>
        <w:jc w:val="left"/>
        <w:rPr>
          <w:rFonts w:ascii="宋体" w:hAnsi="宋体"/>
          <w:bCs/>
          <w:sz w:val="24"/>
        </w:rPr>
      </w:pPr>
      <w:r>
        <w:rPr>
          <w:rFonts w:hint="eastAsia" w:ascii="宋体" w:hAnsi="宋体"/>
          <w:bCs/>
          <w:sz w:val="24"/>
        </w:rPr>
        <w:t>1.本合同期限自    年  月  日至    年  月  日，合同两年期满，双方即终止本合同。</w:t>
      </w:r>
    </w:p>
    <w:p>
      <w:pPr>
        <w:tabs>
          <w:tab w:val="left" w:pos="6570"/>
        </w:tabs>
        <w:spacing w:line="360" w:lineRule="auto"/>
        <w:jc w:val="left"/>
        <w:rPr>
          <w:rFonts w:ascii="宋体" w:hAnsi="宋体"/>
          <w:bCs/>
          <w:sz w:val="24"/>
        </w:rPr>
      </w:pPr>
      <w:r>
        <w:rPr>
          <w:rFonts w:hint="eastAsia" w:ascii="宋体" w:hAnsi="宋体"/>
          <w:bCs/>
          <w:sz w:val="24"/>
        </w:rPr>
        <w:t>2.合同到期后，双方有续签需求，经过甲乙综合评定通过后，可续签一年。</w:t>
      </w:r>
    </w:p>
    <w:p>
      <w:pPr>
        <w:tabs>
          <w:tab w:val="left" w:pos="6570"/>
        </w:tabs>
        <w:spacing w:line="360" w:lineRule="auto"/>
        <w:jc w:val="left"/>
        <w:rPr>
          <w:rFonts w:ascii="宋体" w:hAnsi="宋体"/>
          <w:bCs/>
          <w:sz w:val="24"/>
        </w:rPr>
      </w:pPr>
      <w:r>
        <w:rPr>
          <w:rFonts w:hint="eastAsia" w:ascii="宋体" w:hAnsi="宋体"/>
          <w:bCs/>
          <w:sz w:val="24"/>
        </w:rPr>
        <w:t>二、劳务外包内容</w:t>
      </w:r>
    </w:p>
    <w:p>
      <w:pPr>
        <w:tabs>
          <w:tab w:val="left" w:pos="6570"/>
        </w:tabs>
        <w:spacing w:line="360" w:lineRule="auto"/>
        <w:jc w:val="left"/>
        <w:rPr>
          <w:rFonts w:ascii="宋体" w:hAnsi="宋体"/>
          <w:bCs/>
          <w:sz w:val="24"/>
        </w:rPr>
      </w:pPr>
      <w:r>
        <w:rPr>
          <w:rFonts w:hint="eastAsia" w:ascii="宋体" w:hAnsi="宋体"/>
          <w:bCs/>
          <w:sz w:val="24"/>
        </w:rPr>
        <w:t>1.劳务作业内容：</w:t>
      </w:r>
    </w:p>
    <w:p>
      <w:pPr>
        <w:tabs>
          <w:tab w:val="left" w:pos="6570"/>
        </w:tabs>
        <w:spacing w:line="360" w:lineRule="auto"/>
        <w:jc w:val="left"/>
        <w:rPr>
          <w:rFonts w:ascii="宋体" w:hAnsi="宋体"/>
          <w:bCs/>
          <w:sz w:val="24"/>
        </w:rPr>
      </w:pPr>
      <w:r>
        <w:rPr>
          <w:rFonts w:hint="eastAsia" w:ascii="宋体" w:hAnsi="宋体"/>
          <w:bCs/>
          <w:sz w:val="24"/>
        </w:rPr>
        <w:t>冷库装卸作业、进出库作业、库区堆码作业、库区货位整理、托盘标准堆放、作业区卫生清洁及甲方其他所需人力和机械作业服务。</w:t>
      </w:r>
    </w:p>
    <w:p>
      <w:pPr>
        <w:tabs>
          <w:tab w:val="left" w:pos="6570"/>
        </w:tabs>
        <w:spacing w:line="360" w:lineRule="auto"/>
        <w:jc w:val="left"/>
        <w:rPr>
          <w:rFonts w:ascii="宋体" w:hAnsi="宋体"/>
          <w:bCs/>
          <w:sz w:val="24"/>
        </w:rPr>
      </w:pPr>
      <w:r>
        <w:rPr>
          <w:rFonts w:hint="eastAsia" w:ascii="宋体" w:hAnsi="宋体"/>
          <w:bCs/>
          <w:sz w:val="24"/>
        </w:rPr>
        <w:t>2.工种及工资需求：</w:t>
      </w:r>
    </w:p>
    <w:p>
      <w:pPr>
        <w:tabs>
          <w:tab w:val="left" w:pos="6570"/>
        </w:tabs>
        <w:spacing w:line="360" w:lineRule="auto"/>
        <w:jc w:val="left"/>
        <w:rPr>
          <w:rFonts w:ascii="宋体" w:hAnsi="宋体"/>
          <w:bCs/>
          <w:sz w:val="24"/>
        </w:rPr>
      </w:pPr>
      <w:r>
        <w:rPr>
          <w:rFonts w:hint="eastAsia" w:ascii="宋体" w:hAnsi="宋体"/>
          <w:bCs/>
          <w:sz w:val="24"/>
        </w:rPr>
        <w:t>（1）人力装卸工：不低于6人。</w:t>
      </w:r>
    </w:p>
    <w:p>
      <w:pPr>
        <w:tabs>
          <w:tab w:val="left" w:pos="6570"/>
        </w:tabs>
        <w:spacing w:line="360" w:lineRule="auto"/>
        <w:jc w:val="left"/>
        <w:rPr>
          <w:rFonts w:ascii="宋体" w:hAnsi="宋体"/>
          <w:bCs/>
          <w:sz w:val="24"/>
        </w:rPr>
      </w:pPr>
      <w:r>
        <w:rPr>
          <w:rFonts w:hint="eastAsia" w:ascii="宋体" w:hAnsi="宋体"/>
          <w:bCs/>
          <w:sz w:val="24"/>
        </w:rPr>
        <w:t>（2）叉车工：不低于6人。</w:t>
      </w:r>
    </w:p>
    <w:p>
      <w:pPr>
        <w:tabs>
          <w:tab w:val="left" w:pos="6570"/>
        </w:tabs>
        <w:spacing w:line="360" w:lineRule="auto"/>
        <w:jc w:val="left"/>
        <w:rPr>
          <w:rFonts w:ascii="宋体" w:hAnsi="宋体"/>
          <w:bCs/>
          <w:sz w:val="24"/>
        </w:rPr>
      </w:pPr>
      <w:r>
        <w:rPr>
          <w:rFonts w:hint="eastAsia" w:ascii="宋体" w:hAnsi="宋体"/>
          <w:bCs/>
          <w:sz w:val="24"/>
        </w:rPr>
        <w:t>（3）乙方根据甲方工作量需求，合理增加人员，不能出现等人装卸和等叉车卸货现象。</w:t>
      </w:r>
    </w:p>
    <w:p>
      <w:pPr>
        <w:tabs>
          <w:tab w:val="left" w:pos="6570"/>
        </w:tabs>
        <w:spacing w:line="360" w:lineRule="auto"/>
        <w:jc w:val="left"/>
        <w:rPr>
          <w:rFonts w:ascii="宋体" w:hAnsi="宋体"/>
          <w:bCs/>
          <w:sz w:val="24"/>
        </w:rPr>
      </w:pPr>
      <w:r>
        <w:rPr>
          <w:rFonts w:hint="eastAsia" w:ascii="宋体" w:hAnsi="宋体"/>
          <w:bCs/>
          <w:sz w:val="24"/>
        </w:rPr>
        <w:t xml:space="preserve">3.作业能力需求：日作业能力不低于 </w:t>
      </w:r>
      <w:r>
        <w:rPr>
          <w:rFonts w:ascii="宋体" w:hAnsi="宋体"/>
          <w:bCs/>
          <w:sz w:val="24"/>
        </w:rPr>
        <w:t>800</w:t>
      </w:r>
      <w:r>
        <w:rPr>
          <w:rFonts w:hint="eastAsia" w:ascii="宋体" w:hAnsi="宋体"/>
          <w:bCs/>
          <w:sz w:val="24"/>
        </w:rPr>
        <w:t xml:space="preserve"> 吨。</w:t>
      </w:r>
    </w:p>
    <w:p>
      <w:pPr>
        <w:tabs>
          <w:tab w:val="left" w:pos="6570"/>
        </w:tabs>
        <w:spacing w:line="360" w:lineRule="auto"/>
        <w:jc w:val="left"/>
        <w:rPr>
          <w:rFonts w:ascii="宋体" w:hAnsi="宋体"/>
          <w:bCs/>
          <w:sz w:val="24"/>
        </w:rPr>
      </w:pPr>
      <w:r>
        <w:rPr>
          <w:rFonts w:hint="eastAsia" w:ascii="宋体" w:hAnsi="宋体"/>
          <w:bCs/>
          <w:sz w:val="24"/>
        </w:rPr>
        <w:t>4.工作时间：</w:t>
      </w:r>
    </w:p>
    <w:p>
      <w:pPr>
        <w:tabs>
          <w:tab w:val="left" w:pos="6570"/>
        </w:tabs>
        <w:spacing w:line="360" w:lineRule="auto"/>
        <w:jc w:val="left"/>
        <w:rPr>
          <w:rFonts w:ascii="宋体" w:hAnsi="宋体"/>
          <w:bCs/>
          <w:sz w:val="24"/>
        </w:rPr>
      </w:pPr>
      <w:r>
        <w:rPr>
          <w:rFonts w:hint="eastAsia" w:ascii="宋体" w:hAnsi="宋体"/>
          <w:bCs/>
          <w:sz w:val="24"/>
        </w:rPr>
        <w:t>24小时作业服务，主要工作时间段为：07：00-19：00，甲方告知乙方服务作业需求，乙方合理安排人员数量和作业人员班次。</w:t>
      </w:r>
    </w:p>
    <w:p>
      <w:pPr>
        <w:tabs>
          <w:tab w:val="left" w:pos="6570"/>
        </w:tabs>
        <w:spacing w:line="360" w:lineRule="auto"/>
        <w:jc w:val="left"/>
        <w:rPr>
          <w:rFonts w:ascii="宋体" w:hAnsi="宋体"/>
          <w:bCs/>
          <w:sz w:val="24"/>
        </w:rPr>
      </w:pPr>
      <w:r>
        <w:rPr>
          <w:rFonts w:ascii="宋体" w:hAnsi="宋体"/>
          <w:bCs/>
          <w:sz w:val="24"/>
        </w:rPr>
        <w:t>5.</w:t>
      </w:r>
      <w:r>
        <w:rPr>
          <w:rFonts w:hint="eastAsia" w:ascii="宋体" w:hAnsi="宋体"/>
          <w:bCs/>
          <w:sz w:val="24"/>
        </w:rPr>
        <w:t>作业工具：由乙方自备或经过甲方允许使用甲方作业工具。</w:t>
      </w:r>
    </w:p>
    <w:p>
      <w:pPr>
        <w:tabs>
          <w:tab w:val="left" w:pos="6570"/>
        </w:tabs>
        <w:spacing w:line="360" w:lineRule="auto"/>
        <w:jc w:val="left"/>
        <w:rPr>
          <w:rFonts w:ascii="宋体" w:hAnsi="宋体"/>
          <w:bCs/>
          <w:sz w:val="24"/>
        </w:rPr>
      </w:pPr>
      <w:r>
        <w:rPr>
          <w:rFonts w:hint="eastAsia" w:ascii="宋体" w:hAnsi="宋体"/>
          <w:bCs/>
          <w:sz w:val="24"/>
        </w:rPr>
        <w:t>三、劳务外包服务收费</w:t>
      </w:r>
    </w:p>
    <w:p>
      <w:pPr>
        <w:tabs>
          <w:tab w:val="left" w:pos="6570"/>
        </w:tabs>
        <w:spacing w:line="360" w:lineRule="auto"/>
        <w:jc w:val="left"/>
        <w:rPr>
          <w:rFonts w:ascii="宋体" w:hAnsi="宋体"/>
          <w:bCs/>
          <w:sz w:val="24"/>
        </w:rPr>
      </w:pPr>
      <w:r>
        <w:rPr>
          <w:rFonts w:hint="eastAsia" w:ascii="宋体" w:hAnsi="宋体"/>
          <w:bCs/>
          <w:sz w:val="24"/>
        </w:rPr>
        <w:t>1.甲方确定劳务作业收费标准，目前暂时收费标准如下（轻泡货物参考3个立方/吨计算）：</w:t>
      </w:r>
    </w:p>
    <w:p>
      <w:pPr>
        <w:tabs>
          <w:tab w:val="left" w:pos="6570"/>
        </w:tabs>
        <w:spacing w:line="360" w:lineRule="auto"/>
        <w:jc w:val="left"/>
        <w:rPr>
          <w:rFonts w:ascii="宋体" w:hAnsi="宋体"/>
          <w:bCs/>
          <w:sz w:val="24"/>
        </w:rPr>
      </w:pPr>
      <w:r>
        <w:rPr>
          <w:rFonts w:hint="eastAsia" w:ascii="宋体" w:hAnsi="宋体"/>
          <w:bCs/>
          <w:sz w:val="24"/>
        </w:rPr>
        <w:t>（1）人力从运输工具上搬下货物放置月台托盘上或月台地面上，20元/吨；</w:t>
      </w:r>
    </w:p>
    <w:p>
      <w:pPr>
        <w:tabs>
          <w:tab w:val="left" w:pos="6570"/>
        </w:tabs>
        <w:spacing w:line="360" w:lineRule="auto"/>
        <w:jc w:val="left"/>
        <w:rPr>
          <w:rFonts w:ascii="宋体" w:hAnsi="宋体"/>
          <w:bCs/>
          <w:sz w:val="24"/>
        </w:rPr>
      </w:pPr>
      <w:r>
        <w:rPr>
          <w:rFonts w:hint="eastAsia" w:ascii="宋体" w:hAnsi="宋体"/>
          <w:bCs/>
          <w:sz w:val="24"/>
        </w:rPr>
        <w:t>（2）人力从月台托盘上或月台地面上将货物装入运输工具中，20元/吨；</w:t>
      </w:r>
    </w:p>
    <w:p>
      <w:pPr>
        <w:tabs>
          <w:tab w:val="left" w:pos="6570"/>
        </w:tabs>
        <w:spacing w:line="360" w:lineRule="auto"/>
        <w:jc w:val="left"/>
        <w:rPr>
          <w:rFonts w:ascii="宋体" w:hAnsi="宋体"/>
          <w:bCs/>
          <w:sz w:val="24"/>
        </w:rPr>
      </w:pPr>
      <w:r>
        <w:rPr>
          <w:rFonts w:hint="eastAsia" w:ascii="宋体" w:hAnsi="宋体"/>
          <w:bCs/>
          <w:sz w:val="24"/>
        </w:rPr>
        <w:t>（3）人力在库房内将货物加高堆码作业或减高堆码作业，20元/吨；</w:t>
      </w:r>
    </w:p>
    <w:p>
      <w:pPr>
        <w:tabs>
          <w:tab w:val="left" w:pos="6570"/>
        </w:tabs>
        <w:spacing w:line="360" w:lineRule="auto"/>
        <w:jc w:val="left"/>
        <w:rPr>
          <w:rFonts w:ascii="宋体" w:hAnsi="宋体"/>
          <w:bCs/>
          <w:sz w:val="24"/>
        </w:rPr>
      </w:pPr>
      <w:r>
        <w:rPr>
          <w:rFonts w:hint="eastAsia" w:ascii="宋体" w:hAnsi="宋体"/>
          <w:bCs/>
          <w:sz w:val="24"/>
        </w:rPr>
        <w:t>（4）叉车从月台上将托盘上货物叉入库房地面货位上，5元/托盘；</w:t>
      </w:r>
    </w:p>
    <w:p>
      <w:pPr>
        <w:tabs>
          <w:tab w:val="left" w:pos="6570"/>
        </w:tabs>
        <w:spacing w:line="360" w:lineRule="auto"/>
        <w:jc w:val="left"/>
        <w:rPr>
          <w:rFonts w:ascii="宋体" w:hAnsi="宋体"/>
          <w:bCs/>
          <w:sz w:val="24"/>
        </w:rPr>
      </w:pPr>
      <w:r>
        <w:rPr>
          <w:rFonts w:hint="eastAsia" w:ascii="宋体" w:hAnsi="宋体"/>
          <w:bCs/>
          <w:sz w:val="24"/>
        </w:rPr>
        <w:t>（5）叉车从库房地面货位上将货物叉出放在月台上，5元/托盘；</w:t>
      </w:r>
    </w:p>
    <w:p>
      <w:pPr>
        <w:tabs>
          <w:tab w:val="left" w:pos="6570"/>
        </w:tabs>
        <w:spacing w:line="360" w:lineRule="auto"/>
        <w:jc w:val="left"/>
        <w:rPr>
          <w:rFonts w:ascii="宋体" w:hAnsi="宋体"/>
          <w:bCs/>
          <w:sz w:val="24"/>
        </w:rPr>
      </w:pPr>
      <w:r>
        <w:rPr>
          <w:rFonts w:hint="eastAsia" w:ascii="宋体" w:hAnsi="宋体"/>
          <w:bCs/>
          <w:sz w:val="24"/>
        </w:rPr>
        <w:t>（6）叉车库房内作业，每加高或减高一层增加1元，例如：第二层摆放或取货按6元/托盘收费，第三层摆放或取货按7元/托盘收费。</w:t>
      </w:r>
    </w:p>
    <w:p>
      <w:pPr>
        <w:tabs>
          <w:tab w:val="left" w:pos="6570"/>
        </w:tabs>
        <w:spacing w:line="360" w:lineRule="auto"/>
        <w:jc w:val="left"/>
        <w:rPr>
          <w:rFonts w:ascii="宋体" w:hAnsi="宋体"/>
          <w:bCs/>
          <w:sz w:val="24"/>
        </w:rPr>
      </w:pPr>
      <w:r>
        <w:rPr>
          <w:rFonts w:hint="eastAsia" w:ascii="宋体" w:hAnsi="宋体"/>
          <w:bCs/>
          <w:sz w:val="24"/>
        </w:rPr>
        <w:t>（7）其他未确定的作业内容，由甲方现场确认收费。</w:t>
      </w:r>
    </w:p>
    <w:p>
      <w:pPr>
        <w:tabs>
          <w:tab w:val="left" w:pos="6570"/>
        </w:tabs>
        <w:spacing w:line="360" w:lineRule="auto"/>
        <w:jc w:val="left"/>
        <w:rPr>
          <w:rFonts w:ascii="宋体" w:hAnsi="宋体"/>
          <w:bCs/>
          <w:sz w:val="24"/>
        </w:rPr>
      </w:pPr>
      <w:r>
        <w:rPr>
          <w:rFonts w:hint="eastAsia" w:ascii="宋体" w:hAnsi="宋体"/>
          <w:bCs/>
          <w:sz w:val="24"/>
        </w:rPr>
        <w:t>2.所有劳务作业由甲乙双方现场人员签字确认，并由甲方开票收费。</w:t>
      </w:r>
    </w:p>
    <w:p>
      <w:pPr>
        <w:tabs>
          <w:tab w:val="left" w:pos="6570"/>
        </w:tabs>
        <w:spacing w:line="360" w:lineRule="auto"/>
        <w:jc w:val="left"/>
        <w:rPr>
          <w:rFonts w:ascii="宋体" w:hAnsi="宋体"/>
          <w:bCs/>
          <w:sz w:val="24"/>
        </w:rPr>
      </w:pPr>
      <w:r>
        <w:rPr>
          <w:rFonts w:hint="eastAsia" w:ascii="宋体" w:hAnsi="宋体"/>
          <w:bCs/>
          <w:sz w:val="24"/>
        </w:rPr>
        <w:t>3.乙方每月汇总结算联：交甲方审核无误后，乙方留取一联做结算联，甲方扣除%的管理服务费，剩余劳务费由乙方开具增值税专用发票（正规劳务发票）向甲方结算，甲方应在收到发票后及时结算给乙方。</w:t>
      </w:r>
    </w:p>
    <w:p>
      <w:pPr>
        <w:tabs>
          <w:tab w:val="left" w:pos="6570"/>
        </w:tabs>
        <w:spacing w:line="360" w:lineRule="auto"/>
        <w:jc w:val="left"/>
        <w:rPr>
          <w:rFonts w:ascii="宋体" w:hAnsi="宋体"/>
          <w:bCs/>
          <w:sz w:val="24"/>
        </w:rPr>
      </w:pPr>
      <w:r>
        <w:rPr>
          <w:rFonts w:hint="eastAsia" w:ascii="宋体" w:hAnsi="宋体"/>
          <w:bCs/>
          <w:sz w:val="24"/>
        </w:rPr>
        <w:t>4．劳务费每月收入低于元时，甲方按 元支付给乙方，同时不收取劳务服务费。</w:t>
      </w:r>
    </w:p>
    <w:p>
      <w:pPr>
        <w:tabs>
          <w:tab w:val="left" w:pos="6570"/>
        </w:tabs>
        <w:spacing w:line="360" w:lineRule="auto"/>
        <w:jc w:val="left"/>
        <w:rPr>
          <w:rFonts w:ascii="宋体" w:hAnsi="宋体"/>
          <w:bCs/>
          <w:sz w:val="24"/>
        </w:rPr>
      </w:pPr>
      <w:r>
        <w:rPr>
          <w:rFonts w:hint="eastAsia" w:ascii="宋体" w:hAnsi="宋体"/>
          <w:bCs/>
          <w:sz w:val="24"/>
        </w:rPr>
        <w:t>5.甲方支付给乙方的劳务费用中，已包含但不限于：工资、保险、餐费、加班费等各种费用，不再另行支付。</w:t>
      </w:r>
    </w:p>
    <w:p>
      <w:pPr>
        <w:tabs>
          <w:tab w:val="left" w:pos="6570"/>
        </w:tabs>
        <w:spacing w:line="360" w:lineRule="auto"/>
        <w:jc w:val="left"/>
        <w:rPr>
          <w:rFonts w:ascii="宋体" w:hAnsi="宋体"/>
          <w:bCs/>
          <w:sz w:val="24"/>
        </w:rPr>
      </w:pPr>
      <w:r>
        <w:rPr>
          <w:rFonts w:hint="eastAsia" w:ascii="宋体" w:hAnsi="宋体"/>
          <w:bCs/>
          <w:sz w:val="24"/>
        </w:rPr>
        <w:t>四、甲方的权利和义务</w:t>
      </w:r>
    </w:p>
    <w:p>
      <w:pPr>
        <w:tabs>
          <w:tab w:val="left" w:pos="6570"/>
        </w:tabs>
        <w:spacing w:line="360" w:lineRule="auto"/>
        <w:jc w:val="left"/>
        <w:rPr>
          <w:rFonts w:ascii="宋体" w:hAnsi="宋体"/>
          <w:bCs/>
          <w:sz w:val="24"/>
        </w:rPr>
      </w:pPr>
      <w:r>
        <w:rPr>
          <w:rFonts w:hint="eastAsia" w:ascii="宋体" w:hAnsi="宋体"/>
          <w:bCs/>
          <w:sz w:val="24"/>
        </w:rPr>
        <w:t>1.根据生产经营实际需求，及时将用工、用时、用作业器械等信息告知乙方。</w:t>
      </w:r>
    </w:p>
    <w:p>
      <w:pPr>
        <w:tabs>
          <w:tab w:val="left" w:pos="6570"/>
        </w:tabs>
        <w:spacing w:line="360" w:lineRule="auto"/>
        <w:jc w:val="left"/>
        <w:rPr>
          <w:rFonts w:ascii="宋体" w:hAnsi="宋体"/>
          <w:bCs/>
          <w:sz w:val="24"/>
        </w:rPr>
      </w:pPr>
      <w:r>
        <w:rPr>
          <w:rFonts w:hint="eastAsia" w:ascii="宋体" w:hAnsi="宋体"/>
          <w:bCs/>
          <w:sz w:val="24"/>
        </w:rPr>
        <w:t>2.对乙方劳务人员的资质、技能、工作态度等方面进行审核。</w:t>
      </w:r>
    </w:p>
    <w:p>
      <w:pPr>
        <w:tabs>
          <w:tab w:val="left" w:pos="6570"/>
        </w:tabs>
        <w:spacing w:line="360" w:lineRule="auto"/>
        <w:jc w:val="left"/>
        <w:rPr>
          <w:rFonts w:ascii="宋体" w:hAnsi="宋体"/>
          <w:bCs/>
          <w:sz w:val="24"/>
        </w:rPr>
      </w:pPr>
      <w:r>
        <w:rPr>
          <w:rFonts w:hint="eastAsia" w:ascii="宋体" w:hAnsi="宋体"/>
          <w:bCs/>
          <w:sz w:val="24"/>
        </w:rPr>
        <w:t>3.告知乙方劳务人员的工作内容、工作流程、工作要求及甲方的各项规章制度。</w:t>
      </w:r>
    </w:p>
    <w:p>
      <w:pPr>
        <w:tabs>
          <w:tab w:val="left" w:pos="6570"/>
        </w:tabs>
        <w:spacing w:line="360" w:lineRule="auto"/>
        <w:jc w:val="left"/>
        <w:rPr>
          <w:rFonts w:ascii="宋体" w:hAnsi="宋体"/>
          <w:bCs/>
          <w:sz w:val="24"/>
        </w:rPr>
      </w:pPr>
      <w:r>
        <w:rPr>
          <w:rFonts w:hint="eastAsia" w:ascii="宋体" w:hAnsi="宋体"/>
          <w:bCs/>
          <w:sz w:val="24"/>
        </w:rPr>
        <w:t>4.对乙方劳务人员进行日常现场监督管理，并进行必要的岗位培训和安全教育。</w:t>
      </w:r>
    </w:p>
    <w:p>
      <w:pPr>
        <w:tabs>
          <w:tab w:val="left" w:pos="6570"/>
        </w:tabs>
        <w:spacing w:line="360" w:lineRule="auto"/>
        <w:jc w:val="left"/>
        <w:rPr>
          <w:rFonts w:ascii="宋体" w:hAnsi="宋体"/>
          <w:bCs/>
          <w:sz w:val="24"/>
        </w:rPr>
      </w:pPr>
      <w:r>
        <w:rPr>
          <w:rFonts w:hint="eastAsia" w:ascii="宋体" w:hAnsi="宋体"/>
          <w:bCs/>
          <w:sz w:val="24"/>
        </w:rPr>
        <w:t>5.甲方每月对乙方劳务服务进行考核考评，对不能按要求完成工作作业内容，不服从现场管理、指挥，违反甲方各项规章制度的情况，视情节轻重给予乙方：批评警告、100-1000元的经济处罚、遣返退回劳务人员，情节严重的可提前解除本劳务合同，同时甲方有权另外独立组织装卸作业。</w:t>
      </w:r>
    </w:p>
    <w:p>
      <w:pPr>
        <w:tabs>
          <w:tab w:val="left" w:pos="6570"/>
        </w:tabs>
        <w:spacing w:line="360" w:lineRule="auto"/>
        <w:jc w:val="left"/>
        <w:rPr>
          <w:rFonts w:ascii="宋体" w:hAnsi="宋体"/>
          <w:bCs/>
          <w:sz w:val="24"/>
        </w:rPr>
      </w:pPr>
      <w:r>
        <w:rPr>
          <w:rFonts w:hint="eastAsia" w:ascii="宋体" w:hAnsi="宋体"/>
          <w:bCs/>
          <w:sz w:val="24"/>
        </w:rPr>
        <w:t>6.及时按月结算乙方劳务费用。</w:t>
      </w:r>
    </w:p>
    <w:p>
      <w:pPr>
        <w:tabs>
          <w:tab w:val="left" w:pos="6570"/>
        </w:tabs>
        <w:spacing w:line="360" w:lineRule="auto"/>
        <w:jc w:val="left"/>
        <w:rPr>
          <w:rFonts w:ascii="宋体" w:hAnsi="宋体"/>
          <w:bCs/>
          <w:sz w:val="24"/>
        </w:rPr>
      </w:pPr>
      <w:r>
        <w:rPr>
          <w:rFonts w:hint="eastAsia" w:ascii="宋体" w:hAnsi="宋体"/>
          <w:bCs/>
          <w:sz w:val="24"/>
        </w:rPr>
        <w:t>五、乙方的权利和义务</w:t>
      </w:r>
    </w:p>
    <w:p>
      <w:pPr>
        <w:tabs>
          <w:tab w:val="left" w:pos="6570"/>
        </w:tabs>
        <w:spacing w:line="360" w:lineRule="auto"/>
        <w:jc w:val="left"/>
        <w:rPr>
          <w:rFonts w:ascii="宋体" w:hAnsi="宋体"/>
          <w:bCs/>
          <w:sz w:val="24"/>
        </w:rPr>
      </w:pPr>
      <w:r>
        <w:rPr>
          <w:rFonts w:hint="eastAsia" w:ascii="宋体" w:hAnsi="宋体"/>
          <w:bCs/>
          <w:sz w:val="24"/>
        </w:rPr>
        <w:t>1.根据甲方要求安排达到法定用工年龄、体检合格、持有上岗资质的足量的劳务人员。</w:t>
      </w:r>
    </w:p>
    <w:p>
      <w:pPr>
        <w:tabs>
          <w:tab w:val="left" w:pos="6570"/>
        </w:tabs>
        <w:spacing w:line="360" w:lineRule="auto"/>
        <w:jc w:val="left"/>
        <w:rPr>
          <w:rFonts w:ascii="宋体" w:hAnsi="宋体"/>
          <w:bCs/>
          <w:sz w:val="24"/>
        </w:rPr>
      </w:pPr>
      <w:r>
        <w:rPr>
          <w:rFonts w:hint="eastAsia" w:ascii="宋体" w:hAnsi="宋体"/>
          <w:bCs/>
          <w:sz w:val="24"/>
        </w:rPr>
        <w:t>2.负责与劳务工作人员签订劳动合同，办理录用登记和续用手续,提供劳务人员的劳动保护和福利待遇。</w:t>
      </w:r>
    </w:p>
    <w:p>
      <w:pPr>
        <w:tabs>
          <w:tab w:val="left" w:pos="6570"/>
        </w:tabs>
        <w:spacing w:line="360" w:lineRule="auto"/>
        <w:jc w:val="left"/>
        <w:rPr>
          <w:rFonts w:ascii="宋体" w:hAnsi="宋体"/>
          <w:bCs/>
          <w:sz w:val="24"/>
        </w:rPr>
      </w:pPr>
      <w:r>
        <w:rPr>
          <w:rFonts w:hint="eastAsia" w:ascii="宋体" w:hAnsi="宋体"/>
          <w:bCs/>
          <w:sz w:val="24"/>
        </w:rPr>
        <w:t>3.乙方负责劳务人员服从甲方的工作岗位安排，要派专人负责协助甲方对劳务人员的日常生产管理，遵守甲方制定的安全生产、劳动纪律、操作规范、岗位责任制等甲方各项管理规章制度，甲方布置的劳动（工作）任务。</w:t>
      </w:r>
    </w:p>
    <w:p>
      <w:pPr>
        <w:tabs>
          <w:tab w:val="left" w:pos="6570"/>
        </w:tabs>
        <w:spacing w:line="360" w:lineRule="auto"/>
        <w:jc w:val="left"/>
        <w:rPr>
          <w:rFonts w:ascii="宋体" w:hAnsi="宋体"/>
          <w:bCs/>
          <w:sz w:val="24"/>
        </w:rPr>
      </w:pPr>
      <w:r>
        <w:rPr>
          <w:rFonts w:hint="eastAsia" w:ascii="宋体" w:hAnsi="宋体"/>
          <w:bCs/>
          <w:sz w:val="24"/>
        </w:rPr>
        <w:t>4.乙方负责处理劳务人员因在甲方工作期满或因违反甲方各项规章制度被终止劳务工作的事宜，以及各种劳动保障纠纷。</w:t>
      </w:r>
    </w:p>
    <w:p>
      <w:pPr>
        <w:tabs>
          <w:tab w:val="left" w:pos="6570"/>
        </w:tabs>
        <w:spacing w:line="360" w:lineRule="auto"/>
        <w:jc w:val="left"/>
        <w:rPr>
          <w:rFonts w:ascii="宋体" w:hAnsi="宋体"/>
          <w:bCs/>
          <w:sz w:val="24"/>
        </w:rPr>
      </w:pPr>
      <w:r>
        <w:rPr>
          <w:rFonts w:hint="eastAsia" w:ascii="宋体" w:hAnsi="宋体"/>
          <w:bCs/>
          <w:sz w:val="24"/>
        </w:rPr>
        <w:t>5.劳务人员因工致伤、致残、职业病及死亡，由乙方负责办理工伤保险的申报和认定，及时向工伤保险部门办理应享受的工伤保险待遇，相关责任均由乙方承担。</w:t>
      </w:r>
    </w:p>
    <w:p>
      <w:pPr>
        <w:tabs>
          <w:tab w:val="left" w:pos="6570"/>
        </w:tabs>
        <w:spacing w:line="360" w:lineRule="auto"/>
        <w:jc w:val="left"/>
        <w:rPr>
          <w:rFonts w:ascii="宋体" w:hAnsi="宋体"/>
          <w:bCs/>
          <w:sz w:val="24"/>
        </w:rPr>
      </w:pPr>
      <w:r>
        <w:rPr>
          <w:rFonts w:hint="eastAsia" w:ascii="宋体" w:hAnsi="宋体"/>
          <w:bCs/>
          <w:sz w:val="24"/>
        </w:rPr>
        <w:t>6．乙方及时发放劳务人员的工资，缴纳相关保险费用。</w:t>
      </w:r>
    </w:p>
    <w:p>
      <w:pPr>
        <w:tabs>
          <w:tab w:val="left" w:pos="6570"/>
        </w:tabs>
        <w:spacing w:line="360" w:lineRule="auto"/>
        <w:jc w:val="left"/>
        <w:rPr>
          <w:rFonts w:ascii="宋体" w:hAnsi="宋体"/>
          <w:bCs/>
          <w:sz w:val="24"/>
        </w:rPr>
      </w:pPr>
      <w:r>
        <w:rPr>
          <w:rFonts w:hint="eastAsia" w:ascii="宋体" w:hAnsi="宋体"/>
          <w:bCs/>
          <w:sz w:val="24"/>
        </w:rPr>
        <w:t>7.乙方接受甲方对劳务人员的管理和考核考评，对劳务人员给甲方造成的设备损坏和经济损失先行给予甲方照价赔偿，再由乙方追究具体劳务人员责任。</w:t>
      </w:r>
    </w:p>
    <w:p>
      <w:pPr>
        <w:tabs>
          <w:tab w:val="left" w:pos="6570"/>
        </w:tabs>
        <w:spacing w:line="360" w:lineRule="auto"/>
        <w:jc w:val="left"/>
        <w:rPr>
          <w:rFonts w:ascii="宋体" w:hAnsi="宋体"/>
          <w:bCs/>
          <w:sz w:val="24"/>
        </w:rPr>
      </w:pPr>
      <w:r>
        <w:rPr>
          <w:rFonts w:hint="eastAsia" w:ascii="宋体" w:hAnsi="宋体"/>
          <w:bCs/>
          <w:sz w:val="24"/>
        </w:rPr>
        <w:t>8.对不能按甲方要求完成工作作业内容的接受甲方处罚，并允许甲方另外独立组织装卸作业。</w:t>
      </w:r>
    </w:p>
    <w:p>
      <w:pPr>
        <w:tabs>
          <w:tab w:val="left" w:pos="6570"/>
        </w:tabs>
        <w:spacing w:line="360" w:lineRule="auto"/>
        <w:jc w:val="left"/>
        <w:rPr>
          <w:rFonts w:ascii="宋体" w:hAnsi="宋体"/>
          <w:bCs/>
          <w:sz w:val="24"/>
        </w:rPr>
      </w:pPr>
      <w:r>
        <w:rPr>
          <w:rFonts w:hint="eastAsia" w:ascii="宋体" w:hAnsi="宋体"/>
          <w:bCs/>
          <w:sz w:val="24"/>
        </w:rPr>
        <w:t>六、履约保证金</w:t>
      </w:r>
    </w:p>
    <w:p>
      <w:pPr>
        <w:spacing w:line="360" w:lineRule="auto"/>
        <w:ind w:firstLine="480" w:firstLineChars="200"/>
        <w:rPr>
          <w:rFonts w:ascii="宋体" w:hAnsi="宋体" w:cs="宋体"/>
          <w:kern w:val="0"/>
          <w:sz w:val="24"/>
          <w:szCs w:val="24"/>
        </w:rPr>
      </w:pPr>
      <w:r>
        <w:rPr>
          <w:rFonts w:hint="eastAsia" w:ascii="宋体" w:hAnsi="宋体"/>
          <w:bCs/>
          <w:sz w:val="24"/>
        </w:rPr>
        <w:t>乙方向甲方缴纳履约保证金 10000 元（大写：壹万元整），用于保证合同的履行。甲方对乙方的经济处罚或乙方对甲方设备造成损坏的相关赔偿，如乙方在10个工作日内不履行，则甲方有权从乙方履约保证金中扣除或从当月甲方支付给乙方的结算款中扣除，且乙方须在次月补齐履约保证金。</w:t>
      </w:r>
      <w:r>
        <w:rPr>
          <w:rFonts w:ascii="宋体" w:hAnsi="宋体" w:cs="宋体"/>
          <w:kern w:val="0"/>
          <w:sz w:val="24"/>
          <w:szCs w:val="24"/>
        </w:rPr>
        <w:t>履约保证金在</w:t>
      </w:r>
      <w:r>
        <w:rPr>
          <w:rFonts w:hint="eastAsia" w:ascii="宋体" w:hAnsi="宋体" w:cs="宋体"/>
          <w:kern w:val="0"/>
          <w:sz w:val="24"/>
          <w:szCs w:val="24"/>
        </w:rPr>
        <w:t>服务期结束</w:t>
      </w:r>
      <w:r>
        <w:rPr>
          <w:rFonts w:ascii="宋体" w:hAnsi="宋体" w:cs="宋体"/>
          <w:kern w:val="0"/>
          <w:sz w:val="24"/>
          <w:szCs w:val="24"/>
        </w:rPr>
        <w:t>后按实际履约情况退还（无息）。</w:t>
      </w:r>
    </w:p>
    <w:p>
      <w:pPr>
        <w:tabs>
          <w:tab w:val="left" w:pos="6570"/>
        </w:tabs>
        <w:spacing w:line="360" w:lineRule="auto"/>
        <w:ind w:firstLine="480" w:firstLineChars="200"/>
        <w:jc w:val="left"/>
        <w:rPr>
          <w:rFonts w:ascii="宋体" w:hAnsi="宋体"/>
          <w:bCs/>
          <w:sz w:val="24"/>
        </w:rPr>
      </w:pPr>
      <w:r>
        <w:rPr>
          <w:rFonts w:hint="eastAsia" w:ascii="宋体" w:hAnsi="宋体"/>
          <w:bCs/>
          <w:sz w:val="24"/>
        </w:rPr>
        <w:t>七、其他约定事项</w:t>
      </w:r>
    </w:p>
    <w:p>
      <w:pPr>
        <w:tabs>
          <w:tab w:val="left" w:pos="6570"/>
        </w:tabs>
        <w:spacing w:line="360" w:lineRule="auto"/>
        <w:jc w:val="left"/>
        <w:rPr>
          <w:rFonts w:ascii="宋体" w:hAnsi="宋体"/>
          <w:bCs/>
          <w:sz w:val="24"/>
        </w:rPr>
      </w:pPr>
      <w:r>
        <w:rPr>
          <w:rFonts w:hint="eastAsia" w:ascii="宋体" w:hAnsi="宋体"/>
          <w:bCs/>
          <w:sz w:val="24"/>
        </w:rPr>
        <w:t>1.本合同履行过程中，内容如与国家法律、法规或劳动保障政策不一致的，按国家法律、法规政策执行。</w:t>
      </w:r>
    </w:p>
    <w:p>
      <w:pPr>
        <w:tabs>
          <w:tab w:val="left" w:pos="6570"/>
        </w:tabs>
        <w:spacing w:line="360" w:lineRule="auto"/>
        <w:jc w:val="left"/>
        <w:rPr>
          <w:rFonts w:ascii="宋体" w:hAnsi="宋体"/>
          <w:bCs/>
          <w:sz w:val="24"/>
        </w:rPr>
      </w:pPr>
      <w:r>
        <w:rPr>
          <w:rFonts w:hint="eastAsia" w:ascii="宋体" w:hAnsi="宋体"/>
          <w:bCs/>
          <w:sz w:val="24"/>
        </w:rPr>
        <w:t>2．本合同遇到不可抗力或政府政策变化等原因，致使合同无法继续履行需提前解除合同的，甲乙双方不承担相应法律责任。</w:t>
      </w:r>
    </w:p>
    <w:p>
      <w:pPr>
        <w:tabs>
          <w:tab w:val="left" w:pos="6570"/>
        </w:tabs>
        <w:spacing w:line="360" w:lineRule="auto"/>
        <w:jc w:val="left"/>
        <w:rPr>
          <w:rFonts w:ascii="宋体" w:hAnsi="宋体"/>
          <w:bCs/>
          <w:sz w:val="24"/>
        </w:rPr>
      </w:pPr>
      <w:r>
        <w:rPr>
          <w:rFonts w:hint="eastAsia" w:ascii="宋体" w:hAnsi="宋体"/>
          <w:bCs/>
          <w:sz w:val="24"/>
        </w:rPr>
        <w:t>3.履行本合同发生争议时，由双方协商处理，协商不成的双方均可提请仲裁或诉讼。</w:t>
      </w:r>
    </w:p>
    <w:p>
      <w:pPr>
        <w:tabs>
          <w:tab w:val="left" w:pos="6570"/>
        </w:tabs>
        <w:spacing w:line="360" w:lineRule="auto"/>
        <w:jc w:val="left"/>
        <w:rPr>
          <w:rFonts w:ascii="宋体" w:hAnsi="宋体"/>
          <w:bCs/>
          <w:sz w:val="24"/>
        </w:rPr>
      </w:pPr>
      <w:r>
        <w:rPr>
          <w:rFonts w:hint="eastAsia" w:ascii="宋体" w:hAnsi="宋体"/>
          <w:bCs/>
          <w:sz w:val="24"/>
        </w:rPr>
        <w:t>4.本合同一式两份，甲乙双方各执一份，双方签字（盖章）后生效。</w:t>
      </w:r>
    </w:p>
    <w:p>
      <w:pPr>
        <w:tabs>
          <w:tab w:val="left" w:pos="6570"/>
        </w:tabs>
        <w:spacing w:line="360" w:lineRule="auto"/>
        <w:jc w:val="left"/>
        <w:rPr>
          <w:rFonts w:ascii="宋体" w:hAnsi="宋体"/>
          <w:bCs/>
          <w:sz w:val="24"/>
        </w:rPr>
      </w:pPr>
    </w:p>
    <w:p>
      <w:pPr>
        <w:tabs>
          <w:tab w:val="left" w:pos="6570"/>
        </w:tabs>
        <w:spacing w:line="360" w:lineRule="auto"/>
        <w:jc w:val="left"/>
        <w:rPr>
          <w:rFonts w:ascii="宋体" w:hAnsi="宋体"/>
          <w:bCs/>
          <w:sz w:val="24"/>
        </w:rPr>
      </w:pPr>
      <w:r>
        <w:rPr>
          <w:rFonts w:hint="eastAsia" w:ascii="宋体" w:hAnsi="宋体"/>
          <w:bCs/>
          <w:sz w:val="24"/>
        </w:rPr>
        <w:t>甲方（盖章）：                  乙方（盖章）：</w:t>
      </w:r>
    </w:p>
    <w:p>
      <w:pPr>
        <w:tabs>
          <w:tab w:val="left" w:pos="6570"/>
        </w:tabs>
        <w:spacing w:line="360" w:lineRule="auto"/>
        <w:jc w:val="left"/>
        <w:rPr>
          <w:rFonts w:ascii="宋体" w:hAnsi="宋体"/>
          <w:bCs/>
          <w:sz w:val="24"/>
        </w:rPr>
      </w:pPr>
      <w:r>
        <w:rPr>
          <w:rFonts w:hint="eastAsia" w:ascii="宋体" w:hAnsi="宋体"/>
          <w:bCs/>
          <w:sz w:val="24"/>
        </w:rPr>
        <w:t>代表：                         代表：</w:t>
      </w:r>
    </w:p>
    <w:p>
      <w:pPr>
        <w:tabs>
          <w:tab w:val="left" w:pos="6570"/>
        </w:tabs>
        <w:spacing w:line="360" w:lineRule="auto"/>
        <w:jc w:val="left"/>
        <w:rPr>
          <w:rFonts w:ascii="宋体" w:hAnsi="宋体"/>
          <w:bCs/>
          <w:sz w:val="24"/>
        </w:rPr>
      </w:pPr>
      <w:r>
        <w:rPr>
          <w:rFonts w:hint="eastAsia" w:ascii="宋体" w:hAnsi="宋体"/>
          <w:bCs/>
          <w:sz w:val="24"/>
        </w:rPr>
        <w:t>日期：                         日期：</w:t>
      </w:r>
    </w:p>
    <w:p>
      <w:pPr>
        <w:tabs>
          <w:tab w:val="left" w:pos="6570"/>
        </w:tabs>
        <w:spacing w:line="360" w:lineRule="auto"/>
        <w:jc w:val="left"/>
        <w:rPr>
          <w:rFonts w:ascii="宋体" w:hAnsi="宋体"/>
          <w:bCs/>
          <w:sz w:val="24"/>
        </w:rPr>
      </w:pPr>
    </w:p>
    <w:p>
      <w:pPr>
        <w:tabs>
          <w:tab w:val="left" w:pos="6570"/>
        </w:tabs>
        <w:spacing w:line="360" w:lineRule="auto"/>
        <w:jc w:val="left"/>
        <w:rPr>
          <w:rFonts w:ascii="宋体" w:hAnsi="宋体"/>
          <w:bCs/>
          <w:sz w:val="24"/>
        </w:rPr>
      </w:pPr>
    </w:p>
    <w:p>
      <w:pPr>
        <w:tabs>
          <w:tab w:val="left" w:pos="6570"/>
        </w:tabs>
        <w:spacing w:line="360" w:lineRule="auto"/>
        <w:jc w:val="left"/>
        <w:rPr>
          <w:rFonts w:ascii="宋体" w:hAnsi="宋体"/>
          <w:bCs/>
          <w:sz w:val="24"/>
        </w:rPr>
      </w:pPr>
    </w:p>
    <w:p>
      <w:pPr>
        <w:tabs>
          <w:tab w:val="left" w:pos="6570"/>
        </w:tabs>
        <w:spacing w:line="360" w:lineRule="auto"/>
        <w:jc w:val="left"/>
        <w:rPr>
          <w:rFonts w:ascii="宋体" w:hAnsi="宋体"/>
          <w:bCs/>
          <w:sz w:val="24"/>
        </w:rPr>
      </w:pPr>
    </w:p>
    <w:p>
      <w:pPr>
        <w:tabs>
          <w:tab w:val="left" w:pos="6570"/>
        </w:tabs>
        <w:spacing w:line="360" w:lineRule="auto"/>
        <w:jc w:val="left"/>
        <w:rPr>
          <w:rFonts w:ascii="宋体" w:hAnsi="宋体"/>
          <w:bCs/>
          <w:sz w:val="24"/>
        </w:rPr>
      </w:pPr>
    </w:p>
    <w:p>
      <w:pPr>
        <w:snapToGrid w:val="0"/>
        <w:spacing w:line="360" w:lineRule="auto"/>
        <w:jc w:val="center"/>
        <w:rPr>
          <w:rFonts w:ascii="宋体" w:hAnsi="宋体"/>
          <w:b/>
          <w:bCs/>
          <w:sz w:val="36"/>
          <w:szCs w:val="36"/>
        </w:rPr>
      </w:pPr>
      <w:r>
        <w:rPr>
          <w:rFonts w:hint="eastAsia" w:ascii="宋体" w:hAnsi="宋体"/>
          <w:b/>
          <w:bCs/>
          <w:sz w:val="36"/>
          <w:szCs w:val="36"/>
        </w:rPr>
        <w:t>第四章  项目需求</w:t>
      </w:r>
    </w:p>
    <w:p>
      <w:pPr>
        <w:spacing w:line="360" w:lineRule="auto"/>
        <w:rPr>
          <w:sz w:val="24"/>
          <w:szCs w:val="24"/>
        </w:rPr>
      </w:pPr>
      <w:r>
        <w:rPr>
          <w:rFonts w:hint="eastAsia"/>
          <w:sz w:val="24"/>
          <w:szCs w:val="24"/>
        </w:rPr>
        <w:t>一、服务内容：</w:t>
      </w:r>
    </w:p>
    <w:bookmarkEnd w:id="157"/>
    <w:bookmarkEnd w:id="158"/>
    <w:bookmarkEnd w:id="159"/>
    <w:bookmarkEnd w:id="160"/>
    <w:bookmarkEnd w:id="161"/>
    <w:p>
      <w:pPr>
        <w:spacing w:line="360" w:lineRule="auto"/>
        <w:ind w:firstLine="465"/>
        <w:jc w:val="left"/>
        <w:rPr>
          <w:sz w:val="24"/>
          <w:szCs w:val="24"/>
        </w:rPr>
      </w:pPr>
      <w:bookmarkStart w:id="164" w:name="_Toc479962293"/>
      <w:bookmarkStart w:id="165" w:name="_Toc49090575"/>
      <w:bookmarkStart w:id="166" w:name="_Toc26554093"/>
      <w:bookmarkStart w:id="167" w:name="_Toc120614281"/>
      <w:r>
        <w:rPr>
          <w:rFonts w:hint="eastAsia"/>
          <w:sz w:val="24"/>
          <w:szCs w:val="24"/>
        </w:rPr>
        <w:t>1、劳务作业（劳务服务）内容：月台装卸作业、进出库作业、库区货位整理、作业区卫生等服务。</w:t>
      </w:r>
    </w:p>
    <w:p>
      <w:pPr>
        <w:spacing w:line="360" w:lineRule="auto"/>
        <w:rPr>
          <w:sz w:val="24"/>
          <w:szCs w:val="24"/>
        </w:rPr>
      </w:pPr>
      <w:r>
        <w:rPr>
          <w:rFonts w:hint="eastAsia"/>
          <w:sz w:val="24"/>
          <w:szCs w:val="24"/>
        </w:rPr>
        <w:t>二、工种人员需求：</w:t>
      </w:r>
    </w:p>
    <w:p>
      <w:pPr>
        <w:spacing w:line="360" w:lineRule="auto"/>
        <w:ind w:firstLine="480" w:firstLineChars="200"/>
        <w:rPr>
          <w:sz w:val="24"/>
          <w:szCs w:val="24"/>
        </w:rPr>
      </w:pPr>
      <w:r>
        <w:rPr>
          <w:rFonts w:hint="eastAsia"/>
          <w:sz w:val="24"/>
          <w:szCs w:val="24"/>
        </w:rPr>
        <w:t>1、人力装卸工：不低于</w:t>
      </w:r>
      <w:r>
        <w:rPr>
          <w:rFonts w:hint="eastAsia"/>
          <w:sz w:val="24"/>
          <w:szCs w:val="24"/>
          <w:u w:val="single"/>
        </w:rPr>
        <w:t xml:space="preserve">   6  </w:t>
      </w:r>
      <w:r>
        <w:rPr>
          <w:rFonts w:hint="eastAsia"/>
          <w:sz w:val="24"/>
          <w:szCs w:val="24"/>
        </w:rPr>
        <w:t>人。</w:t>
      </w:r>
    </w:p>
    <w:p>
      <w:pPr>
        <w:spacing w:line="360" w:lineRule="auto"/>
        <w:ind w:firstLine="480" w:firstLineChars="200"/>
        <w:rPr>
          <w:sz w:val="24"/>
          <w:szCs w:val="24"/>
        </w:rPr>
      </w:pPr>
      <w:r>
        <w:rPr>
          <w:rFonts w:hint="eastAsia"/>
          <w:sz w:val="24"/>
          <w:szCs w:val="24"/>
        </w:rPr>
        <w:t>2、叉车工：不低于</w:t>
      </w:r>
      <w:r>
        <w:rPr>
          <w:rFonts w:hint="eastAsia"/>
          <w:sz w:val="24"/>
          <w:szCs w:val="24"/>
          <w:u w:val="single"/>
        </w:rPr>
        <w:t xml:space="preserve">  6  </w:t>
      </w:r>
      <w:r>
        <w:rPr>
          <w:rFonts w:hint="eastAsia"/>
          <w:sz w:val="24"/>
          <w:szCs w:val="24"/>
        </w:rPr>
        <w:t>人。</w:t>
      </w:r>
    </w:p>
    <w:p>
      <w:pPr>
        <w:spacing w:line="360" w:lineRule="auto"/>
        <w:rPr>
          <w:sz w:val="24"/>
          <w:szCs w:val="24"/>
        </w:rPr>
      </w:pPr>
      <w:r>
        <w:rPr>
          <w:rFonts w:hint="eastAsia"/>
          <w:sz w:val="24"/>
          <w:szCs w:val="24"/>
        </w:rPr>
        <w:t>三、作业能力需求：日作业能力不低于 800 吨。</w:t>
      </w:r>
    </w:p>
    <w:p>
      <w:pPr>
        <w:spacing w:line="360" w:lineRule="auto"/>
        <w:rPr>
          <w:sz w:val="24"/>
          <w:szCs w:val="24"/>
        </w:rPr>
      </w:pPr>
      <w:r>
        <w:rPr>
          <w:rFonts w:hint="eastAsia"/>
          <w:sz w:val="24"/>
          <w:szCs w:val="24"/>
        </w:rPr>
        <w:t>四、工作时间：24小时作业服务，主要工作时间段为：07：00-19：00。</w:t>
      </w:r>
    </w:p>
    <w:p>
      <w:pPr>
        <w:spacing w:line="360" w:lineRule="auto"/>
        <w:rPr>
          <w:sz w:val="24"/>
          <w:szCs w:val="24"/>
        </w:rPr>
      </w:pPr>
      <w:r>
        <w:rPr>
          <w:rFonts w:hint="eastAsia"/>
          <w:sz w:val="24"/>
          <w:szCs w:val="24"/>
        </w:rPr>
        <w:t>五、劳务作业（劳务服务）收费标准（轻包货物参照3个立方/吨计算）：</w:t>
      </w:r>
    </w:p>
    <w:p>
      <w:pPr>
        <w:pStyle w:val="108"/>
        <w:numPr>
          <w:ilvl w:val="0"/>
          <w:numId w:val="3"/>
        </w:numPr>
        <w:spacing w:line="360" w:lineRule="auto"/>
        <w:rPr>
          <w:lang w:eastAsia="zh-CN"/>
        </w:rPr>
      </w:pPr>
      <w:r>
        <w:rPr>
          <w:rFonts w:hint="eastAsia"/>
          <w:lang w:eastAsia="zh-CN"/>
        </w:rPr>
        <w:t>人力从运输工具上搬下货物放置月台托盘上或月台地面上，20元/吨；</w:t>
      </w:r>
    </w:p>
    <w:p>
      <w:pPr>
        <w:pStyle w:val="108"/>
        <w:numPr>
          <w:ilvl w:val="0"/>
          <w:numId w:val="3"/>
        </w:numPr>
        <w:spacing w:line="360" w:lineRule="auto"/>
        <w:rPr>
          <w:lang w:eastAsia="zh-CN"/>
        </w:rPr>
      </w:pPr>
      <w:r>
        <w:rPr>
          <w:rFonts w:hint="eastAsia"/>
          <w:lang w:eastAsia="zh-CN"/>
        </w:rPr>
        <w:t>人力从月台托盘上或月台地面上将货物装入运输工具中，20元/吨；</w:t>
      </w:r>
    </w:p>
    <w:p>
      <w:pPr>
        <w:pStyle w:val="108"/>
        <w:numPr>
          <w:ilvl w:val="0"/>
          <w:numId w:val="3"/>
        </w:numPr>
        <w:spacing w:line="360" w:lineRule="auto"/>
        <w:rPr>
          <w:lang w:eastAsia="zh-CN"/>
        </w:rPr>
      </w:pPr>
      <w:r>
        <w:rPr>
          <w:rFonts w:hint="eastAsia"/>
          <w:lang w:eastAsia="zh-CN"/>
        </w:rPr>
        <w:t>人力在库房内将货物加高堆码作业或减高堆码作业，20元/吨；</w:t>
      </w:r>
    </w:p>
    <w:p>
      <w:pPr>
        <w:pStyle w:val="108"/>
        <w:numPr>
          <w:ilvl w:val="0"/>
          <w:numId w:val="3"/>
        </w:numPr>
        <w:spacing w:line="360" w:lineRule="auto"/>
        <w:rPr>
          <w:lang w:eastAsia="zh-CN"/>
        </w:rPr>
      </w:pPr>
      <w:r>
        <w:rPr>
          <w:rFonts w:hint="eastAsia"/>
          <w:lang w:eastAsia="zh-CN"/>
        </w:rPr>
        <w:t>叉车从月台上将托盘上货物叉入库房地面货位上，5元/托盘；</w:t>
      </w:r>
    </w:p>
    <w:p>
      <w:pPr>
        <w:pStyle w:val="108"/>
        <w:numPr>
          <w:ilvl w:val="0"/>
          <w:numId w:val="3"/>
        </w:numPr>
        <w:spacing w:line="360" w:lineRule="auto"/>
        <w:rPr>
          <w:lang w:eastAsia="zh-CN"/>
        </w:rPr>
      </w:pPr>
      <w:r>
        <w:rPr>
          <w:rFonts w:hint="eastAsia"/>
          <w:lang w:eastAsia="zh-CN"/>
        </w:rPr>
        <w:t>叉车从库房地面货位上将货物叉出放在月台上，5元/托盘；</w:t>
      </w:r>
    </w:p>
    <w:p>
      <w:pPr>
        <w:pStyle w:val="108"/>
        <w:numPr>
          <w:ilvl w:val="0"/>
          <w:numId w:val="3"/>
        </w:numPr>
        <w:spacing w:line="360" w:lineRule="auto"/>
        <w:rPr>
          <w:lang w:eastAsia="zh-CN"/>
        </w:rPr>
      </w:pPr>
      <w:r>
        <w:rPr>
          <w:rFonts w:hint="eastAsia"/>
          <w:lang w:eastAsia="zh-CN"/>
        </w:rPr>
        <w:t>叉车库房内作业，每加高或减高一层增加1元，例如：第二层摆放或取货按6元/托盘收费，第三层摆放或取货按7元/托盘收费。</w:t>
      </w:r>
    </w:p>
    <w:p>
      <w:pPr>
        <w:pStyle w:val="108"/>
        <w:numPr>
          <w:ilvl w:val="0"/>
          <w:numId w:val="3"/>
        </w:numPr>
        <w:spacing w:line="360" w:lineRule="auto"/>
        <w:rPr>
          <w:lang w:eastAsia="zh-CN"/>
        </w:rPr>
      </w:pPr>
      <w:r>
        <w:rPr>
          <w:rFonts w:hint="eastAsia"/>
          <w:lang w:eastAsia="zh-CN"/>
        </w:rPr>
        <w:t>其他未确定的作业内容，由甲方现场确认收费。</w:t>
      </w:r>
    </w:p>
    <w:p>
      <w:pPr>
        <w:spacing w:line="360" w:lineRule="auto"/>
        <w:rPr>
          <w:sz w:val="24"/>
          <w:szCs w:val="24"/>
        </w:rPr>
      </w:pPr>
      <w:r>
        <w:rPr>
          <w:rFonts w:hint="eastAsia"/>
          <w:sz w:val="24"/>
          <w:szCs w:val="24"/>
        </w:rPr>
        <w:t>六、劳务作业（劳务服务）费用</w:t>
      </w:r>
    </w:p>
    <w:p>
      <w:pPr>
        <w:spacing w:line="360" w:lineRule="auto"/>
        <w:ind w:firstLine="480" w:firstLineChars="200"/>
        <w:rPr>
          <w:sz w:val="24"/>
          <w:szCs w:val="24"/>
        </w:rPr>
      </w:pPr>
      <w:r>
        <w:rPr>
          <w:rFonts w:hint="eastAsia"/>
          <w:sz w:val="24"/>
          <w:szCs w:val="24"/>
        </w:rPr>
        <w:t>1、劳务作业（劳务服务）费用中，已包含：工资、保险、餐费、加班费等各种费用，不再另行支付。统一发包方开票收取，投标方按</w:t>
      </w:r>
      <w:r>
        <w:rPr>
          <w:rFonts w:hint="eastAsia"/>
          <w:sz w:val="24"/>
          <w:szCs w:val="24"/>
          <w:u w:val="single"/>
        </w:rPr>
        <w:t xml:space="preserve"> 自己所报价的管理费费率 </w:t>
      </w:r>
      <w:r>
        <w:rPr>
          <w:rFonts w:hint="eastAsia"/>
          <w:sz w:val="24"/>
          <w:szCs w:val="24"/>
        </w:rPr>
        <w:t>缴纳管理服务费，劳务服务费月收入</w:t>
      </w:r>
      <w:r>
        <w:rPr>
          <w:rFonts w:hint="eastAsia" w:ascii="宋体" w:hAnsi="宋体"/>
          <w:sz w:val="24"/>
          <w:szCs w:val="24"/>
        </w:rPr>
        <w:t>≤基本劳务服务费</w:t>
      </w:r>
      <w:r>
        <w:rPr>
          <w:rFonts w:hint="eastAsia"/>
          <w:sz w:val="24"/>
          <w:szCs w:val="24"/>
        </w:rPr>
        <w:t>时，发包方按</w:t>
      </w:r>
      <w:r>
        <w:rPr>
          <w:rFonts w:hint="eastAsia" w:ascii="宋体" w:hAnsi="宋体"/>
          <w:sz w:val="24"/>
          <w:szCs w:val="24"/>
        </w:rPr>
        <w:t>基本劳务服务费</w:t>
      </w:r>
      <w:r>
        <w:rPr>
          <w:rFonts w:hint="eastAsia"/>
          <w:sz w:val="24"/>
          <w:szCs w:val="24"/>
        </w:rPr>
        <w:t>支付，并不再收取管理服务费。</w:t>
      </w:r>
    </w:p>
    <w:p>
      <w:pPr>
        <w:spacing w:line="360" w:lineRule="auto"/>
        <w:rPr>
          <w:kern w:val="0"/>
          <w:sz w:val="24"/>
          <w:szCs w:val="24"/>
          <w:lang w:bidi="en-US"/>
        </w:rPr>
      </w:pPr>
      <w:r>
        <w:rPr>
          <w:rFonts w:hint="eastAsia"/>
          <w:kern w:val="0"/>
          <w:sz w:val="24"/>
          <w:szCs w:val="24"/>
          <w:lang w:bidi="en-US"/>
        </w:rPr>
        <w:t>七、管理要求：严格遵守采购方各项规章制度和操作流程要求，接受发包方对叉车工的各项考评及处罚。</w:t>
      </w: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r>
        <w:rPr>
          <w:rFonts w:hint="eastAsia" w:ascii="宋体" w:hAnsi="宋体"/>
          <w:bCs/>
          <w:sz w:val="36"/>
          <w:szCs w:val="36"/>
        </w:rPr>
        <w:t>第五章    资格审查</w:t>
      </w:r>
    </w:p>
    <w:p>
      <w:pPr>
        <w:ind w:firstLine="480"/>
        <w:rPr>
          <w:rFonts w:ascii="宋体" w:hAnsi="宋体"/>
        </w:rPr>
      </w:pPr>
    </w:p>
    <w:tbl>
      <w:tblPr>
        <w:tblStyle w:val="45"/>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69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条款号</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投标人名称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投标人名称与营业执照一致；不一致的，有有效证明材料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投标文件签字盖章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加盖投标人公章和企业法定代表人（或企业法定代表人委托代理人）印章（或签字）。如投标函加盖企业法定代表人委托代理人印章（或签字）的，委托代理人有合法、有效的委托书（原件）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投标文件的组成内容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投标文件及报价唯一</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只能有一个投标文件及有效报价（招标文件要求提交备选投标的除外）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9" w:type="dxa"/>
            <w:vMerge w:val="restart"/>
            <w:tcBorders>
              <w:left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资格评审标准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非法定代表人参加的</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cs="Arial"/>
                <w:kern w:val="0"/>
              </w:rPr>
              <w:t>必须提供法定代表人亲笔签名的授权委托书</w:t>
            </w:r>
            <w:r>
              <w:rPr>
                <w:rFonts w:hint="eastAsia" w:ascii="宋体" w:hAnsi="宋体" w:cs="Arial"/>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授权委托人养老保险缴费证明</w:t>
            </w:r>
          </w:p>
        </w:tc>
        <w:tc>
          <w:tcPr>
            <w:tcW w:w="482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宋体"/>
              </w:rPr>
              <w:t>投标企业出具为参加本项目投标的授权委托人在所在地社保机构缴纳的</w:t>
            </w:r>
            <w:r>
              <w:rPr>
                <w:rFonts w:ascii="Times New Roman" w:hAnsi="Times New Roman"/>
              </w:rPr>
              <w:t>2019</w:t>
            </w:r>
            <w:r>
              <w:rPr>
                <w:rFonts w:ascii="Times New Roman" w:hAnsi="宋体"/>
              </w:rPr>
              <w:t>年</w:t>
            </w:r>
            <w:r>
              <w:rPr>
                <w:rFonts w:hint="eastAsia" w:ascii="Times New Roman" w:hAnsi="Times New Roman"/>
              </w:rPr>
              <w:t>8</w:t>
            </w:r>
            <w:r>
              <w:rPr>
                <w:rFonts w:ascii="Times New Roman" w:hAnsi="宋体"/>
              </w:rPr>
              <w:t>月至</w:t>
            </w:r>
            <w:r>
              <w:rPr>
                <w:rFonts w:ascii="Times New Roman" w:hAnsi="Times New Roman"/>
              </w:rPr>
              <w:t>20</w:t>
            </w:r>
            <w:r>
              <w:rPr>
                <w:rFonts w:hint="eastAsia" w:ascii="Times New Roman" w:hAnsi="Times New Roman"/>
              </w:rPr>
              <w:t>20</w:t>
            </w:r>
            <w:r>
              <w:rPr>
                <w:rFonts w:ascii="Times New Roman" w:hAnsi="宋体"/>
              </w:rPr>
              <w:t>年</w:t>
            </w:r>
            <w:r>
              <w:rPr>
                <w:rFonts w:hint="eastAsia" w:ascii="Times New Roman" w:hAnsi="Times New Roman"/>
              </w:rPr>
              <w:t>1</w:t>
            </w:r>
            <w:r>
              <w:rPr>
                <w:rFonts w:ascii="Times New Roman" w:hAnsi="宋体"/>
              </w:rPr>
              <w:t>月连续</w:t>
            </w:r>
            <w:r>
              <w:rPr>
                <w:rFonts w:ascii="Times New Roman" w:hAnsi="Times New Roman"/>
              </w:rPr>
              <w:t>6</w:t>
            </w:r>
            <w:r>
              <w:rPr>
                <w:rFonts w:ascii="Times New Roman" w:hAnsi="宋体"/>
              </w:rPr>
              <w:t>个月的养老保险缴费清单证明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具有独立法人资格的投标单位，具有有效的营业执照、组织机构代码证、税务登记证或三证合一的营业执照(经营范围必须包含装卸、搬运业务)</w:t>
            </w:r>
          </w:p>
          <w:p>
            <w:pPr>
              <w:spacing w:line="360" w:lineRule="exact"/>
              <w:rPr>
                <w:rFonts w:ascii="宋体" w:hAnsi="宋体" w:cs="Arial"/>
              </w:rPr>
            </w:pPr>
            <w:r>
              <w:rPr>
                <w:rFonts w:hint="eastAsia" w:ascii="宋体" w:hAnsi="宋体" w:cs="Arial"/>
              </w:rPr>
              <w:t>提供营业执照副本复印件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投标承诺书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投标承诺书（格式详见第七章）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214" w:type="dxa"/>
            <w:gridSpan w:val="4"/>
            <w:tcBorders>
              <w:left w:val="single" w:color="auto" w:sz="4" w:space="0"/>
              <w:right w:val="single" w:color="auto" w:sz="4" w:space="0"/>
            </w:tcBorders>
            <w:vAlign w:val="center"/>
          </w:tcPr>
          <w:p>
            <w:pPr>
              <w:spacing w:line="360" w:lineRule="exact"/>
              <w:jc w:val="left"/>
              <w:rPr>
                <w:rFonts w:ascii="宋体" w:hAnsi="宋体" w:cs="Arial"/>
                <w:b/>
              </w:rPr>
            </w:pPr>
            <w:r>
              <w:rPr>
                <w:rFonts w:hint="eastAsia" w:ascii="宋体" w:hAnsi="宋体" w:cs="宋体"/>
                <w:b/>
              </w:rPr>
              <w:t>注：条款号2.1.2资格评审标准的资料需提供复印件并加盖单位公章，</w:t>
            </w:r>
            <w:r>
              <w:rPr>
                <w:rFonts w:hint="eastAsia" w:ascii="宋体" w:hAnsi="宋体" w:cs="Arial"/>
                <w:b/>
              </w:rPr>
              <w:t>同时提供原件查验。</w:t>
            </w:r>
            <w:r>
              <w:rPr>
                <w:rFonts w:hint="eastAsia" w:ascii="宋体" w:hAnsi="宋体" w:cs="宋体"/>
                <w:b/>
              </w:rPr>
              <w:t>通过形式评审和资格审查的投标人方可进入商务标评审。</w:t>
            </w:r>
          </w:p>
        </w:tc>
      </w:tr>
    </w:tbl>
    <w:p>
      <w:pPr>
        <w:snapToGrid w:val="0"/>
        <w:spacing w:line="360" w:lineRule="auto"/>
        <w:jc w:val="center"/>
        <w:rPr>
          <w:rFonts w:ascii="宋体" w:hAnsi="宋体"/>
          <w:b/>
          <w:bCs/>
          <w:sz w:val="36"/>
          <w:szCs w:val="36"/>
        </w:rPr>
      </w:pPr>
      <w:r>
        <w:rPr>
          <w:rFonts w:ascii="宋体" w:hAnsi="宋体"/>
          <w:bCs/>
          <w:sz w:val="44"/>
        </w:rPr>
        <w:br w:type="page"/>
      </w:r>
      <w:r>
        <w:rPr>
          <w:rFonts w:hint="eastAsia" w:ascii="宋体" w:hAnsi="宋体"/>
          <w:b/>
          <w:bCs/>
          <w:sz w:val="36"/>
          <w:szCs w:val="36"/>
        </w:rPr>
        <w:t xml:space="preserve">第六章  </w:t>
      </w:r>
      <w:bookmarkEnd w:id="164"/>
      <w:r>
        <w:rPr>
          <w:rFonts w:hint="eastAsia" w:ascii="宋体" w:hAnsi="宋体"/>
          <w:b/>
          <w:bCs/>
          <w:sz w:val="36"/>
          <w:szCs w:val="36"/>
        </w:rPr>
        <w:t xml:space="preserve"> 评标办法（综合评估办法）</w:t>
      </w:r>
      <w:bookmarkStart w:id="168" w:name="_Toc184635088"/>
      <w:bookmarkStart w:id="169" w:name="_Toc397928613"/>
      <w:bookmarkStart w:id="170" w:name="_Toc12009"/>
    </w:p>
    <w:p>
      <w:pPr>
        <w:spacing w:line="440" w:lineRule="exact"/>
        <w:jc w:val="center"/>
        <w:rPr>
          <w:rFonts w:ascii="宋体" w:hAnsi="宋体" w:cs="宋体"/>
          <w:b/>
          <w:sz w:val="24"/>
          <w:szCs w:val="24"/>
        </w:rPr>
      </w:pPr>
      <w:r>
        <w:rPr>
          <w:rFonts w:hint="eastAsia" w:ascii="宋体" w:hAnsi="宋体" w:cs="宋体"/>
          <w:b/>
          <w:sz w:val="24"/>
          <w:szCs w:val="24"/>
        </w:rPr>
        <w:t>评标办法前附表</w:t>
      </w:r>
    </w:p>
    <w:tbl>
      <w:tblPr>
        <w:tblStyle w:val="4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
        <w:gridCol w:w="1828"/>
        <w:gridCol w:w="27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ascii="宋体" w:hAnsi="宋体" w:cs="宋体"/>
                <w:b/>
                <w:sz w:val="18"/>
                <w:szCs w:val="18"/>
              </w:rPr>
            </w:pPr>
            <w:r>
              <w:rPr>
                <w:rFonts w:hint="eastAsia" w:ascii="宋体" w:hAnsi="宋体" w:cs="宋体"/>
                <w:b/>
                <w:sz w:val="18"/>
                <w:szCs w:val="18"/>
              </w:rPr>
              <w:t>条款号</w:t>
            </w:r>
          </w:p>
        </w:tc>
        <w:tc>
          <w:tcPr>
            <w:tcW w:w="2209" w:type="dxa"/>
            <w:gridSpan w:val="3"/>
            <w:vAlign w:val="center"/>
          </w:tcPr>
          <w:p>
            <w:pPr>
              <w:jc w:val="center"/>
              <w:rPr>
                <w:rFonts w:ascii="宋体" w:hAnsi="宋体" w:cs="宋体"/>
                <w:b/>
                <w:sz w:val="18"/>
                <w:szCs w:val="18"/>
              </w:rPr>
            </w:pPr>
            <w:r>
              <w:rPr>
                <w:rFonts w:hint="eastAsia" w:ascii="宋体" w:hAnsi="宋体" w:cs="宋体"/>
                <w:b/>
                <w:sz w:val="18"/>
                <w:szCs w:val="18"/>
              </w:rPr>
              <w:t>评审因素</w:t>
            </w:r>
          </w:p>
        </w:tc>
        <w:tc>
          <w:tcPr>
            <w:tcW w:w="6228" w:type="dxa"/>
            <w:vAlign w:val="center"/>
          </w:tcPr>
          <w:p>
            <w:pPr>
              <w:jc w:val="center"/>
              <w:rPr>
                <w:rFonts w:ascii="宋体" w:hAnsi="宋体" w:cs="宋体"/>
                <w:b/>
                <w:sz w:val="18"/>
                <w:szCs w:val="18"/>
              </w:rPr>
            </w:pPr>
            <w:r>
              <w:rPr>
                <w:rFonts w:hint="eastAsia" w:ascii="宋体" w:hAnsi="宋体" w:cs="宋体"/>
                <w:b/>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ascii="宋体" w:hAnsi="宋体" w:cs="宋体"/>
                <w:sz w:val="18"/>
                <w:szCs w:val="18"/>
              </w:rPr>
            </w:pPr>
            <w:r>
              <w:rPr>
                <w:rFonts w:hint="eastAsia" w:ascii="宋体" w:hAnsi="宋体" w:cs="宋体"/>
                <w:sz w:val="18"/>
                <w:szCs w:val="18"/>
              </w:rPr>
              <w:t>2.2.1</w:t>
            </w:r>
          </w:p>
        </w:tc>
        <w:tc>
          <w:tcPr>
            <w:tcW w:w="2209" w:type="dxa"/>
            <w:gridSpan w:val="3"/>
            <w:vAlign w:val="center"/>
          </w:tcPr>
          <w:p>
            <w:pPr>
              <w:ind w:firstLine="9" w:firstLineChars="5"/>
              <w:jc w:val="center"/>
              <w:rPr>
                <w:rFonts w:ascii="宋体" w:hAnsi="宋体" w:cs="宋体"/>
                <w:sz w:val="18"/>
                <w:szCs w:val="18"/>
              </w:rPr>
            </w:pPr>
            <w:r>
              <w:rPr>
                <w:rFonts w:hint="eastAsia" w:ascii="宋体" w:hAnsi="宋体" w:cs="宋体"/>
                <w:sz w:val="18"/>
                <w:szCs w:val="18"/>
              </w:rPr>
              <w:t>分值构成（100分）</w:t>
            </w:r>
          </w:p>
        </w:tc>
        <w:tc>
          <w:tcPr>
            <w:tcW w:w="6228" w:type="dxa"/>
            <w:vAlign w:val="center"/>
          </w:tcPr>
          <w:p>
            <w:pPr>
              <w:ind w:firstLine="361" w:firstLineChars="200"/>
              <w:jc w:val="center"/>
              <w:rPr>
                <w:rFonts w:ascii="宋体" w:hAnsi="宋体" w:cs="宋体"/>
                <w:b/>
                <w:sz w:val="18"/>
                <w:szCs w:val="18"/>
              </w:rPr>
            </w:pPr>
            <w:r>
              <w:rPr>
                <w:rFonts w:hint="eastAsia" w:ascii="宋体" w:hAnsi="宋体" w:cs="宋体"/>
                <w:b/>
                <w:sz w:val="18"/>
                <w:szCs w:val="18"/>
              </w:rPr>
              <w:t>技术商务：40分，报价：60分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292" w:type="dxa"/>
            <w:gridSpan w:val="5"/>
          </w:tcPr>
          <w:p>
            <w:pPr>
              <w:spacing w:line="340" w:lineRule="exact"/>
              <w:jc w:val="left"/>
              <w:rPr>
                <w:rFonts w:ascii="宋体" w:hAnsi="宋体" w:cs="宋体"/>
                <w:b/>
              </w:rPr>
            </w:pPr>
            <w:r>
              <w:rPr>
                <w:rFonts w:hint="eastAsia" w:ascii="宋体" w:hAnsi="宋体" w:cs="宋体"/>
                <w:b/>
                <w:sz w:val="18"/>
                <w:szCs w:val="18"/>
              </w:rPr>
              <w:t>当</w:t>
            </w:r>
            <w:r>
              <w:rPr>
                <w:rFonts w:hint="eastAsia" w:ascii="宋体" w:hAnsi="宋体" w:cs="宋体"/>
                <w:b/>
                <w:kern w:val="0"/>
                <w:sz w:val="18"/>
                <w:szCs w:val="18"/>
              </w:rPr>
              <w:t>技术标评委多于5人（含5人）时，投标人的技术得分为各评委技术分中分别去掉一个最高分和一个最低分后之和的算术平均值。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Pr>
          <w:p>
            <w:pPr>
              <w:spacing w:line="440" w:lineRule="exact"/>
              <w:jc w:val="center"/>
              <w:rPr>
                <w:rFonts w:ascii="宋体" w:hAnsi="宋体" w:cs="宋体"/>
                <w:b/>
              </w:rPr>
            </w:pPr>
          </w:p>
        </w:tc>
        <w:tc>
          <w:tcPr>
            <w:tcW w:w="1828" w:type="dxa"/>
          </w:tcPr>
          <w:p>
            <w:pPr>
              <w:autoSpaceDE w:val="0"/>
              <w:autoSpaceDN w:val="0"/>
              <w:adjustRightInd w:val="0"/>
              <w:snapToGrid w:val="0"/>
              <w:spacing w:line="360" w:lineRule="exact"/>
              <w:ind w:left="76" w:leftChars="36"/>
              <w:rPr>
                <w:rFonts w:ascii="宋体" w:hAnsi="宋体" w:cs="宋体"/>
                <w:b/>
                <w:sz w:val="18"/>
                <w:szCs w:val="18"/>
              </w:rPr>
            </w:pPr>
            <w:r>
              <w:rPr>
                <w:rFonts w:hint="eastAsia" w:ascii="宋体" w:hAnsi="宋体" w:cs="宋体"/>
                <w:b/>
                <w:kern w:val="0"/>
                <w:sz w:val="18"/>
                <w:szCs w:val="18"/>
              </w:rPr>
              <w:t>评分因素（分值）</w:t>
            </w:r>
          </w:p>
        </w:tc>
        <w:tc>
          <w:tcPr>
            <w:tcW w:w="6505" w:type="dxa"/>
            <w:gridSpan w:val="2"/>
          </w:tcPr>
          <w:p>
            <w:pPr>
              <w:autoSpaceDE w:val="0"/>
              <w:autoSpaceDN w:val="0"/>
              <w:adjustRightInd w:val="0"/>
              <w:snapToGrid w:val="0"/>
              <w:spacing w:line="360" w:lineRule="exact"/>
              <w:ind w:firstLine="2530" w:firstLineChars="1400"/>
              <w:rPr>
                <w:rFonts w:ascii="宋体" w:hAnsi="宋体" w:cs="宋体"/>
                <w:b/>
                <w:sz w:val="18"/>
                <w:szCs w:val="18"/>
              </w:rPr>
            </w:pPr>
            <w:r>
              <w:rPr>
                <w:rFonts w:hint="eastAsia" w:ascii="宋体" w:hAnsi="宋体" w:cs="宋体"/>
                <w:b/>
                <w:kern w:val="0"/>
                <w:sz w:val="18"/>
                <w:szCs w:val="1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restart"/>
            <w:vAlign w:val="center"/>
          </w:tcPr>
          <w:p>
            <w:pPr>
              <w:spacing w:line="360" w:lineRule="exact"/>
              <w:jc w:val="center"/>
              <w:rPr>
                <w:rFonts w:ascii="宋体" w:hAnsi="宋体" w:cs="宋体"/>
                <w:sz w:val="18"/>
                <w:szCs w:val="18"/>
              </w:rPr>
            </w:pPr>
            <w:r>
              <w:rPr>
                <w:rFonts w:hint="eastAsia" w:ascii="宋体" w:hAnsi="宋体" w:cs="宋体"/>
                <w:sz w:val="18"/>
                <w:szCs w:val="18"/>
              </w:rPr>
              <w:t>2.2.2</w:t>
            </w:r>
          </w:p>
          <w:p>
            <w:pPr>
              <w:spacing w:line="360" w:lineRule="exact"/>
              <w:jc w:val="center"/>
              <w:rPr>
                <w:rFonts w:ascii="宋体" w:hAnsi="宋体" w:cs="宋体"/>
                <w:sz w:val="18"/>
                <w:szCs w:val="18"/>
              </w:rPr>
            </w:pPr>
            <w:r>
              <w:rPr>
                <w:rFonts w:hint="eastAsia" w:ascii="宋体" w:hAnsi="宋体" w:cs="宋体"/>
                <w:sz w:val="18"/>
                <w:szCs w:val="18"/>
              </w:rPr>
              <w:t>技术标</w:t>
            </w:r>
          </w:p>
          <w:p>
            <w:pPr>
              <w:spacing w:line="440" w:lineRule="exact"/>
              <w:jc w:val="center"/>
              <w:rPr>
                <w:rFonts w:ascii="宋体" w:hAnsi="宋体" w:cs="宋体"/>
              </w:rPr>
            </w:pPr>
            <w:r>
              <w:rPr>
                <w:rFonts w:hint="eastAsia" w:ascii="宋体" w:hAnsi="宋体" w:cs="宋体"/>
                <w:sz w:val="18"/>
                <w:szCs w:val="18"/>
              </w:rPr>
              <w:t>（40分）</w:t>
            </w:r>
          </w:p>
        </w:tc>
        <w:tc>
          <w:tcPr>
            <w:tcW w:w="1828" w:type="dxa"/>
            <w:vAlign w:val="center"/>
          </w:tcPr>
          <w:p>
            <w:pPr>
              <w:spacing w:line="360" w:lineRule="exact"/>
              <w:jc w:val="center"/>
              <w:rPr>
                <w:rFonts w:ascii="宋体" w:hAnsi="宋体" w:cs="宋体"/>
                <w:bCs/>
                <w:kern w:val="0"/>
                <w:sz w:val="18"/>
                <w:szCs w:val="18"/>
              </w:rPr>
            </w:pPr>
            <w:r>
              <w:rPr>
                <w:rFonts w:hint="eastAsia" w:ascii="宋体" w:hAnsi="宋体" w:cs="宋体"/>
                <w:bCs/>
                <w:kern w:val="0"/>
                <w:sz w:val="18"/>
                <w:szCs w:val="18"/>
              </w:rPr>
              <w:t>人员配置情况</w:t>
            </w:r>
          </w:p>
          <w:p>
            <w:pPr>
              <w:spacing w:line="360" w:lineRule="exact"/>
              <w:jc w:val="center"/>
              <w:rPr>
                <w:rFonts w:ascii="宋体" w:hAnsi="宋体" w:cs="宋体"/>
                <w:sz w:val="18"/>
                <w:szCs w:val="18"/>
              </w:rPr>
            </w:pPr>
            <w:r>
              <w:rPr>
                <w:rFonts w:hint="eastAsia" w:ascii="宋体" w:hAnsi="宋体" w:cs="宋体"/>
                <w:bCs/>
                <w:kern w:val="0"/>
                <w:sz w:val="18"/>
                <w:szCs w:val="18"/>
              </w:rPr>
              <w:t>（10分）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投标单位所需人员须响应本招标文件第四章服务需求中“二、工种人员需求”最低标准的要求得基本分6分，不符合按无效标处理。人力装卸工每增加1人，加0.5分，最高2分；叉车工每增加1人，加1分，最高2分。</w:t>
            </w:r>
          </w:p>
          <w:p>
            <w:pPr>
              <w:widowControl/>
              <w:spacing w:line="360" w:lineRule="exact"/>
              <w:rPr>
                <w:rFonts w:ascii="宋体" w:hAnsi="宋体" w:cs="宋体"/>
                <w:kern w:val="0"/>
                <w:sz w:val="18"/>
                <w:szCs w:val="18"/>
              </w:rPr>
            </w:pPr>
            <w:r>
              <w:rPr>
                <w:rFonts w:hint="eastAsia" w:ascii="宋体" w:hAnsi="宋体" w:cs="宋体"/>
                <w:kern w:val="0"/>
                <w:sz w:val="18"/>
                <w:szCs w:val="18"/>
              </w:rPr>
              <w:t>注：1、提供叉车工上岗证证书复印件加盖公章，并提供原件查验，否则不得分。</w:t>
            </w:r>
          </w:p>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2、上述人员须提供投标企业其所在地社保机构缴纳的2019年8月至2020年1月连续6个月的养老保险缴费清单证明，提供原件查验，不提供不得分。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企业业绩</w:t>
            </w:r>
          </w:p>
          <w:p>
            <w:pPr>
              <w:widowControl/>
              <w:spacing w:line="360" w:lineRule="exact"/>
              <w:jc w:val="center"/>
              <w:rPr>
                <w:rFonts w:ascii="宋体" w:hAnsi="宋体" w:cs="宋体"/>
                <w:kern w:val="0"/>
                <w:sz w:val="18"/>
                <w:szCs w:val="18"/>
              </w:rPr>
            </w:pPr>
            <w:r>
              <w:rPr>
                <w:rFonts w:hint="eastAsia" w:ascii="宋体" w:hAnsi="宋体" w:cs="宋体"/>
                <w:kern w:val="0"/>
                <w:sz w:val="18"/>
                <w:szCs w:val="18"/>
              </w:rPr>
              <w:t>（12分）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2016年9月1日至开标截止时间（以合同签订日期为准），承担过装卸类劳务合同金额达到80万元/年（含）以上的有一个得3分，最多得12分；没有不得分。</w:t>
            </w:r>
          </w:p>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注：提供合同复印件加盖公章，原件查验。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ind w:firstLine="270" w:firstLineChars="150"/>
              <w:jc w:val="center"/>
              <w:rPr>
                <w:rFonts w:ascii="宋体" w:hAnsi="宋体" w:cs="宋体"/>
                <w:kern w:val="0"/>
                <w:sz w:val="18"/>
                <w:szCs w:val="18"/>
              </w:rPr>
            </w:pPr>
            <w:r>
              <w:rPr>
                <w:rFonts w:hint="eastAsia" w:ascii="宋体" w:hAnsi="宋体" w:cs="宋体"/>
                <w:kern w:val="0"/>
                <w:sz w:val="18"/>
                <w:szCs w:val="18"/>
              </w:rPr>
              <w:t>法定代表人或授权委托人</w:t>
            </w:r>
            <w:r>
              <w:rPr>
                <w:rFonts w:ascii="宋体" w:hAnsi="宋体" w:cs="宋体"/>
                <w:kern w:val="0"/>
                <w:sz w:val="18"/>
                <w:szCs w:val="18"/>
              </w:rPr>
              <w:t>答辩</w:t>
            </w:r>
            <w:r>
              <w:rPr>
                <w:rFonts w:hint="eastAsia" w:ascii="宋体" w:hAnsi="宋体" w:cs="宋体"/>
                <w:kern w:val="0"/>
                <w:sz w:val="18"/>
                <w:szCs w:val="18"/>
              </w:rPr>
              <w:t>（8分）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法定代表人或授权委托人</w:t>
            </w:r>
            <w:r>
              <w:rPr>
                <w:rFonts w:ascii="宋体" w:hAnsi="宋体" w:cs="宋体"/>
                <w:kern w:val="0"/>
                <w:sz w:val="18"/>
                <w:szCs w:val="18"/>
              </w:rPr>
              <w:t>根据自身特点和本项目特点进行答辩。（8分钟内）</w:t>
            </w:r>
          </w:p>
          <w:p>
            <w:pPr>
              <w:widowControl/>
              <w:spacing w:line="360" w:lineRule="exact"/>
              <w:ind w:firstLine="270" w:firstLineChars="150"/>
              <w:rPr>
                <w:rFonts w:ascii="宋体" w:hAnsi="宋体" w:cs="宋体"/>
                <w:kern w:val="0"/>
                <w:sz w:val="18"/>
                <w:szCs w:val="18"/>
              </w:rPr>
            </w:pPr>
            <w:r>
              <w:rPr>
                <w:rFonts w:ascii="宋体" w:hAnsi="宋体" w:cs="宋体"/>
                <w:kern w:val="0"/>
                <w:sz w:val="18"/>
                <w:szCs w:val="18"/>
              </w:rPr>
              <w:t>评委根据</w:t>
            </w:r>
            <w:r>
              <w:rPr>
                <w:rFonts w:hint="eastAsia" w:ascii="宋体" w:hAnsi="宋体" w:cs="宋体"/>
                <w:kern w:val="0"/>
                <w:sz w:val="18"/>
                <w:szCs w:val="18"/>
              </w:rPr>
              <w:t>法定代表人或授权委托人</w:t>
            </w:r>
            <w:r>
              <w:rPr>
                <w:rFonts w:ascii="宋体" w:hAnsi="宋体" w:cs="宋体"/>
                <w:kern w:val="0"/>
                <w:sz w:val="18"/>
                <w:szCs w:val="18"/>
              </w:rPr>
              <w:t>答辩情况酌情打分，</w:t>
            </w:r>
            <w:r>
              <w:rPr>
                <w:rFonts w:hint="eastAsia" w:ascii="宋体" w:hAnsi="宋体" w:cs="宋体"/>
                <w:kern w:val="0"/>
                <w:sz w:val="18"/>
                <w:szCs w:val="18"/>
              </w:rPr>
              <w:t>8</w:t>
            </w:r>
            <w:r>
              <w:rPr>
                <w:rFonts w:ascii="宋体" w:hAnsi="宋体" w:cs="宋体"/>
                <w:kern w:val="0"/>
                <w:sz w:val="18"/>
                <w:szCs w:val="18"/>
              </w:rPr>
              <w:t>分≤好＜</w:t>
            </w:r>
            <w:r>
              <w:rPr>
                <w:rFonts w:hint="eastAsia" w:ascii="宋体" w:hAnsi="宋体" w:cs="宋体"/>
                <w:kern w:val="0"/>
                <w:sz w:val="18"/>
                <w:szCs w:val="18"/>
              </w:rPr>
              <w:t>6</w:t>
            </w:r>
            <w:r>
              <w:rPr>
                <w:rFonts w:ascii="宋体" w:hAnsi="宋体" w:cs="宋体"/>
                <w:kern w:val="0"/>
                <w:sz w:val="18"/>
                <w:szCs w:val="18"/>
              </w:rPr>
              <w:t>分，</w:t>
            </w:r>
            <w:r>
              <w:rPr>
                <w:rFonts w:hint="eastAsia" w:ascii="宋体" w:hAnsi="宋体" w:cs="宋体"/>
                <w:kern w:val="0"/>
                <w:sz w:val="18"/>
                <w:szCs w:val="18"/>
              </w:rPr>
              <w:t>5</w:t>
            </w:r>
            <w:r>
              <w:rPr>
                <w:rFonts w:ascii="宋体" w:hAnsi="宋体" w:cs="宋体"/>
                <w:kern w:val="0"/>
                <w:sz w:val="18"/>
                <w:szCs w:val="18"/>
              </w:rPr>
              <w:t>分≤较好＜</w:t>
            </w:r>
            <w:r>
              <w:rPr>
                <w:rFonts w:hint="eastAsia" w:ascii="宋体" w:hAnsi="宋体" w:cs="宋体"/>
                <w:kern w:val="0"/>
                <w:sz w:val="18"/>
                <w:szCs w:val="18"/>
              </w:rPr>
              <w:t>3</w:t>
            </w:r>
            <w:r>
              <w:rPr>
                <w:rFonts w:ascii="宋体" w:hAnsi="宋体" w:cs="宋体"/>
                <w:kern w:val="0"/>
                <w:sz w:val="18"/>
                <w:szCs w:val="18"/>
              </w:rPr>
              <w:t>分，</w:t>
            </w:r>
            <w:r>
              <w:rPr>
                <w:rFonts w:hint="eastAsia" w:ascii="宋体" w:hAnsi="宋体" w:cs="宋体"/>
                <w:kern w:val="0"/>
                <w:sz w:val="18"/>
                <w:szCs w:val="18"/>
              </w:rPr>
              <w:t>2</w:t>
            </w:r>
            <w:r>
              <w:rPr>
                <w:rFonts w:ascii="宋体" w:hAnsi="宋体" w:cs="宋体"/>
                <w:kern w:val="0"/>
                <w:sz w:val="18"/>
                <w:szCs w:val="18"/>
              </w:rPr>
              <w:t>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服务方案（10分）</w:t>
            </w:r>
          </w:p>
        </w:tc>
        <w:tc>
          <w:tcPr>
            <w:tcW w:w="6505" w:type="dxa"/>
            <w:gridSpan w:val="2"/>
            <w:vAlign w:val="center"/>
          </w:tcPr>
          <w:p>
            <w:pPr>
              <w:widowControl/>
              <w:spacing w:line="360" w:lineRule="exact"/>
              <w:ind w:firstLine="270" w:firstLineChars="150"/>
              <w:rPr>
                <w:rFonts w:ascii="宋体" w:hAnsi="宋体" w:cs="宋体"/>
                <w:bCs/>
                <w:kern w:val="0"/>
                <w:sz w:val="18"/>
                <w:szCs w:val="18"/>
              </w:rPr>
            </w:pPr>
            <w:r>
              <w:rPr>
                <w:rFonts w:hint="eastAsia" w:ascii="宋体" w:hAnsi="宋体" w:cs="宋体"/>
                <w:bCs/>
                <w:kern w:val="0"/>
                <w:sz w:val="18"/>
                <w:szCs w:val="18"/>
              </w:rPr>
              <w:t>结合项目实际，提供服务方案，包括工作内容、工作时间、人员分工及安全等。评委根据方案横向比较，优秀的得10分；良好的得6-4分；一般的得3-0分。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92" w:type="dxa"/>
            <w:gridSpan w:val="5"/>
            <w:vAlign w:val="center"/>
          </w:tcPr>
          <w:p>
            <w:pPr>
              <w:spacing w:line="360" w:lineRule="exact"/>
              <w:jc w:val="center"/>
              <w:rPr>
                <w:rFonts w:ascii="宋体" w:hAnsi="宋体" w:cs="宋体"/>
                <w:b/>
              </w:rPr>
            </w:pPr>
            <w:r>
              <w:rPr>
                <w:rFonts w:hint="eastAsia" w:ascii="宋体" w:hAnsi="宋体" w:cs="宋体"/>
                <w:b/>
                <w:sz w:val="18"/>
                <w:szCs w:val="18"/>
              </w:rPr>
              <w:t>注：条款号2.2.2技术商务标评审标准的资料需提供复印件并加盖单位公章，</w:t>
            </w:r>
            <w:r>
              <w:rPr>
                <w:rFonts w:hint="eastAsia" w:ascii="宋体" w:hAnsi="宋体" w:cs="宋体"/>
                <w:b/>
                <w:kern w:val="0"/>
                <w:sz w:val="18"/>
                <w:szCs w:val="18"/>
              </w:rPr>
              <w:t>同时提供原件查验。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9" w:type="dxa"/>
            <w:gridSpan w:val="2"/>
            <w:vAlign w:val="center"/>
          </w:tcPr>
          <w:p>
            <w:pPr>
              <w:spacing w:line="360" w:lineRule="exact"/>
              <w:jc w:val="center"/>
              <w:rPr>
                <w:rFonts w:ascii="宋体" w:hAnsi="宋体" w:cs="宋体"/>
                <w:sz w:val="18"/>
                <w:szCs w:val="18"/>
              </w:rPr>
            </w:pPr>
            <w:r>
              <w:rPr>
                <w:rFonts w:hint="eastAsia" w:ascii="宋体" w:hAnsi="宋体" w:cs="宋体"/>
                <w:sz w:val="18"/>
                <w:szCs w:val="18"/>
              </w:rPr>
              <w:t>2.2.3报价标</w:t>
            </w:r>
          </w:p>
          <w:p>
            <w:pPr>
              <w:spacing w:line="360" w:lineRule="exact"/>
              <w:rPr>
                <w:rFonts w:ascii="宋体" w:hAnsi="宋体" w:cs="宋体"/>
                <w:b/>
                <w:sz w:val="18"/>
                <w:szCs w:val="18"/>
              </w:rPr>
            </w:pPr>
            <w:r>
              <w:rPr>
                <w:rFonts w:hint="eastAsia" w:ascii="宋体" w:hAnsi="宋体" w:cs="宋体"/>
                <w:sz w:val="18"/>
                <w:szCs w:val="18"/>
              </w:rPr>
              <w:t>（60 分）</w:t>
            </w:r>
          </w:p>
        </w:tc>
        <w:tc>
          <w:tcPr>
            <w:tcW w:w="8333" w:type="dxa"/>
            <w:gridSpan w:val="3"/>
            <w:vAlign w:val="center"/>
          </w:tcPr>
          <w:p>
            <w:pPr>
              <w:pStyle w:val="9"/>
              <w:keepNext w:val="0"/>
              <w:keepLines w:val="0"/>
              <w:numPr>
                <w:ilvl w:val="0"/>
                <w:numId w:val="4"/>
              </w:numPr>
              <w:tabs>
                <w:tab w:val="left" w:pos="928"/>
              </w:tabs>
              <w:adjustRightInd w:val="0"/>
              <w:spacing w:before="0" w:after="0" w:line="360" w:lineRule="auto"/>
              <w:textAlignment w:val="baseline"/>
              <w:rPr>
                <w:rFonts w:ascii="宋体" w:hAnsi="宋体"/>
                <w:b w:val="0"/>
                <w:sz w:val="18"/>
                <w:szCs w:val="18"/>
              </w:rPr>
            </w:pPr>
            <w:r>
              <w:rPr>
                <w:rFonts w:hint="eastAsia" w:ascii="宋体" w:hAnsi="宋体"/>
                <w:b w:val="0"/>
                <w:sz w:val="18"/>
                <w:szCs w:val="18"/>
              </w:rPr>
              <w:t>基础劳务服务费（30分）</w:t>
            </w:r>
          </w:p>
          <w:p>
            <w:pPr>
              <w:pStyle w:val="9"/>
              <w:keepNext w:val="0"/>
              <w:keepLines w:val="0"/>
              <w:numPr>
                <w:ilvl w:val="0"/>
                <w:numId w:val="0"/>
              </w:numPr>
              <w:tabs>
                <w:tab w:val="left" w:pos="928"/>
              </w:tabs>
              <w:adjustRightInd w:val="0"/>
              <w:spacing w:before="0" w:after="0" w:line="360" w:lineRule="auto"/>
              <w:textAlignment w:val="baseline"/>
              <w:rPr>
                <w:rFonts w:ascii="宋体" w:hAnsi="宋体"/>
                <w:b w:val="0"/>
                <w:sz w:val="18"/>
                <w:szCs w:val="18"/>
              </w:rPr>
            </w:pPr>
            <w:r>
              <w:rPr>
                <w:rFonts w:hint="eastAsia" w:ascii="宋体" w:hAnsi="宋体"/>
                <w:b w:val="0"/>
                <w:sz w:val="18"/>
                <w:szCs w:val="18"/>
              </w:rPr>
              <w:t xml:space="preserve">满足招标文件要求且投标有效报价中最低的投标报价为评标基准价，其价格分为满分（30分），其他投标人的价格分统一按照下列公式计算： </w:t>
            </w:r>
          </w:p>
          <w:p>
            <w:pPr>
              <w:pStyle w:val="9"/>
              <w:keepNext w:val="0"/>
              <w:keepLines w:val="0"/>
              <w:numPr>
                <w:ilvl w:val="0"/>
                <w:numId w:val="0"/>
              </w:numPr>
              <w:tabs>
                <w:tab w:val="left" w:pos="928"/>
              </w:tabs>
              <w:adjustRightInd w:val="0"/>
              <w:spacing w:before="0" w:after="0" w:line="360" w:lineRule="auto"/>
              <w:ind w:firstLine="90" w:firstLineChars="50"/>
              <w:textAlignment w:val="baseline"/>
              <w:rPr>
                <w:rFonts w:ascii="宋体" w:hAnsi="宋体"/>
                <w:b w:val="0"/>
                <w:sz w:val="18"/>
                <w:szCs w:val="18"/>
              </w:rPr>
            </w:pPr>
            <w:r>
              <w:rPr>
                <w:rFonts w:hint="eastAsia" w:ascii="宋体" w:hAnsi="宋体"/>
                <w:b w:val="0"/>
                <w:sz w:val="18"/>
                <w:szCs w:val="18"/>
              </w:rPr>
              <w:t xml:space="preserve">  投标报价得分=（评标基准价/投标报价）×报价权值30%×100</w:t>
            </w:r>
          </w:p>
          <w:p>
            <w:pPr>
              <w:pStyle w:val="9"/>
              <w:keepNext w:val="0"/>
              <w:keepLines w:val="0"/>
              <w:numPr>
                <w:ilvl w:val="0"/>
                <w:numId w:val="4"/>
              </w:numPr>
              <w:tabs>
                <w:tab w:val="left" w:pos="928"/>
              </w:tabs>
              <w:adjustRightInd w:val="0"/>
              <w:spacing w:before="0" w:after="0" w:line="360" w:lineRule="auto"/>
              <w:textAlignment w:val="baseline"/>
              <w:rPr>
                <w:rFonts w:ascii="宋体" w:hAnsi="宋体"/>
                <w:b w:val="0"/>
                <w:sz w:val="18"/>
                <w:szCs w:val="18"/>
              </w:rPr>
            </w:pPr>
            <w:r>
              <w:rPr>
                <w:rFonts w:hint="eastAsia" w:ascii="宋体" w:hAnsi="宋体"/>
                <w:b w:val="0"/>
                <w:sz w:val="18"/>
                <w:szCs w:val="18"/>
              </w:rPr>
              <w:t>管理服务费费率（30分）</w:t>
            </w:r>
          </w:p>
          <w:p>
            <w:pPr>
              <w:pStyle w:val="9"/>
              <w:keepNext w:val="0"/>
              <w:keepLines w:val="0"/>
              <w:numPr>
                <w:ilvl w:val="0"/>
                <w:numId w:val="0"/>
              </w:numPr>
              <w:tabs>
                <w:tab w:val="left" w:pos="928"/>
              </w:tabs>
              <w:adjustRightInd w:val="0"/>
              <w:spacing w:before="0" w:after="0" w:line="360" w:lineRule="auto"/>
              <w:textAlignment w:val="baseline"/>
              <w:rPr>
                <w:rFonts w:ascii="宋体" w:hAnsi="宋体"/>
                <w:b w:val="0"/>
                <w:sz w:val="18"/>
                <w:szCs w:val="18"/>
              </w:rPr>
            </w:pPr>
            <w:r>
              <w:rPr>
                <w:rFonts w:hint="eastAsia" w:ascii="宋体" w:hAnsi="宋体"/>
                <w:b w:val="0"/>
                <w:sz w:val="18"/>
                <w:szCs w:val="18"/>
              </w:rPr>
              <w:t xml:space="preserve">满足招标文件要求且投标有效报价中管理服务费费率最高的投标报价为评标基准价，其价格分为满分（30分），其他投标人的价格分统一按照下列公式计算： </w:t>
            </w:r>
          </w:p>
          <w:p>
            <w:pPr>
              <w:pStyle w:val="9"/>
              <w:keepNext w:val="0"/>
              <w:keepLines w:val="0"/>
              <w:numPr>
                <w:ilvl w:val="0"/>
                <w:numId w:val="0"/>
              </w:numPr>
              <w:tabs>
                <w:tab w:val="left" w:pos="928"/>
              </w:tabs>
              <w:adjustRightInd w:val="0"/>
              <w:spacing w:before="0" w:after="0" w:line="360" w:lineRule="auto"/>
              <w:ind w:firstLine="90" w:firstLineChars="50"/>
              <w:textAlignment w:val="baseline"/>
              <w:rPr>
                <w:rFonts w:ascii="宋体" w:hAnsi="宋体"/>
                <w:b w:val="0"/>
                <w:sz w:val="18"/>
                <w:szCs w:val="18"/>
              </w:rPr>
            </w:pPr>
            <w:r>
              <w:rPr>
                <w:rFonts w:hint="eastAsia" w:ascii="宋体" w:hAnsi="宋体"/>
                <w:b w:val="0"/>
                <w:sz w:val="18"/>
                <w:szCs w:val="18"/>
              </w:rPr>
              <w:t xml:space="preserve">  投标报价得分=（投标报价／评标基准价）×报价权值30%×100</w:t>
            </w:r>
          </w:p>
          <w:p>
            <w:pPr>
              <w:snapToGrid w:val="0"/>
              <w:spacing w:line="360" w:lineRule="auto"/>
              <w:jc w:val="left"/>
              <w:rPr>
                <w:rFonts w:ascii="宋体" w:hAnsi="宋体"/>
                <w:b/>
                <w:bCs/>
                <w:sz w:val="18"/>
                <w:szCs w:val="18"/>
              </w:rPr>
            </w:pPr>
            <w:r>
              <w:rPr>
                <w:rFonts w:hint="eastAsia" w:ascii="宋体" w:hAnsi="宋体"/>
                <w:b/>
                <w:bCs/>
                <w:sz w:val="18"/>
                <w:szCs w:val="18"/>
              </w:rPr>
              <w:t>商务标总分=</w:t>
            </w:r>
            <w:r>
              <w:rPr>
                <w:rFonts w:ascii="宋体" w:hAnsi="宋体"/>
                <w:b/>
                <w:bCs/>
                <w:sz w:val="18"/>
                <w:szCs w:val="18"/>
              </w:rPr>
              <w:t>A+B</w:t>
            </w:r>
            <w:r>
              <w:rPr>
                <w:rFonts w:hint="eastAsia" w:ascii="宋体" w:hAnsi="宋体"/>
                <w:bCs/>
                <w:sz w:val="18"/>
                <w:szCs w:val="18"/>
              </w:rPr>
              <w:t>（得分保留小数点2位）</w:t>
            </w:r>
          </w:p>
        </w:tc>
      </w:tr>
    </w:tbl>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1、本次评标采用综合评分法。评标委员会对满足招标文件实质性要求的投标文件，按照本章第2.2款规定的评分标准进行打分，并按得分由高到低顺序推荐中标候选人。综合评分相等时，以投标报价低的优先；投标报价也相等的，则现场抽签确定。</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2、本项目开标顺序为：资格审查-技术标-商务标开标-确定中标候选人。</w:t>
      </w:r>
    </w:p>
    <w:p>
      <w:pPr>
        <w:spacing w:line="480" w:lineRule="exact"/>
        <w:ind w:left="346" w:leftChars="165" w:firstLine="115" w:firstLineChars="50"/>
        <w:jc w:val="left"/>
        <w:rPr>
          <w:rFonts w:ascii="宋体" w:hAnsi="宋体" w:cs="仿宋_GB2312"/>
          <w:sz w:val="23"/>
          <w:szCs w:val="23"/>
        </w:rPr>
      </w:pPr>
      <w:r>
        <w:rPr>
          <w:rFonts w:hint="eastAsia" w:ascii="宋体" w:hAnsi="宋体" w:cs="仿宋_GB2312"/>
          <w:sz w:val="23"/>
          <w:szCs w:val="23"/>
        </w:rPr>
        <w:t>3、评标委员会认为投标人的报价明显低于其他投标人的报价，有可能影响服务质量或</w:t>
      </w:r>
    </w:p>
    <w:p>
      <w:pPr>
        <w:spacing w:line="480" w:lineRule="exact"/>
        <w:jc w:val="left"/>
        <w:rPr>
          <w:rFonts w:ascii="宋体" w:hAnsi="宋体" w:cs="仿宋_GB2312"/>
          <w:sz w:val="23"/>
          <w:szCs w:val="23"/>
        </w:rPr>
      </w:pPr>
      <w:r>
        <w:rPr>
          <w:rFonts w:hint="eastAsia" w:ascii="宋体" w:hAnsi="宋体" w:cs="仿宋_GB2312"/>
          <w:sz w:val="23"/>
          <w:szCs w:val="23"/>
        </w:rPr>
        <w:t>者不能诚信履约的，应当要求其在评标现场在规定时限之内提供书面说明，必要时提交相关证明材料；投标人不能证明其投标合理性的，评标委员会应当将其作为无效投标处理。</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4、评标争议。评标时评委对评标的细则若有争议，由评标委员会评委集体讨论确定，并对未尽情况有最终解释权。</w:t>
      </w:r>
    </w:p>
    <w:p>
      <w:pPr>
        <w:spacing w:line="480" w:lineRule="exact"/>
        <w:ind w:left="346" w:leftChars="165" w:firstLine="115" w:firstLineChars="50"/>
        <w:jc w:val="left"/>
        <w:rPr>
          <w:rFonts w:ascii="宋体" w:hAnsi="宋体" w:cs="仿宋_GB2312"/>
          <w:sz w:val="23"/>
          <w:szCs w:val="23"/>
        </w:rPr>
      </w:pPr>
    </w:p>
    <w:p>
      <w:pPr>
        <w:snapToGrid w:val="0"/>
        <w:spacing w:line="360" w:lineRule="auto"/>
        <w:jc w:val="center"/>
        <w:rPr>
          <w:rFonts w:ascii="宋体" w:hAnsi="宋体"/>
          <w:b/>
          <w:bCs/>
          <w:sz w:val="36"/>
          <w:szCs w:val="36"/>
        </w:rPr>
      </w:pPr>
      <w:r>
        <w:rPr>
          <w:rFonts w:ascii="宋体" w:hAnsi="宋体"/>
          <w:bCs/>
          <w:sz w:val="44"/>
        </w:rPr>
        <w:br w:type="page"/>
      </w:r>
    </w:p>
    <w:bookmarkEnd w:id="168"/>
    <w:bookmarkEnd w:id="169"/>
    <w:bookmarkEnd w:id="170"/>
    <w:p>
      <w:pPr>
        <w:spacing w:line="480" w:lineRule="exact"/>
        <w:ind w:left="360"/>
        <w:jc w:val="left"/>
        <w:rPr>
          <w:rFonts w:ascii="宋体" w:hAnsi="宋体"/>
          <w:bCs/>
          <w:sz w:val="44"/>
        </w:rPr>
      </w:pPr>
      <w:bookmarkStart w:id="171" w:name="_Toc479962294"/>
    </w:p>
    <w:p>
      <w:pPr>
        <w:spacing w:line="480" w:lineRule="exact"/>
        <w:jc w:val="center"/>
        <w:rPr>
          <w:rFonts w:ascii="宋体" w:hAnsi="宋体"/>
          <w:bCs/>
          <w:sz w:val="44"/>
        </w:rPr>
      </w:pPr>
      <w:r>
        <w:rPr>
          <w:rFonts w:hint="eastAsia" w:ascii="宋体" w:hAnsi="宋体"/>
          <w:bCs/>
          <w:sz w:val="44"/>
        </w:rPr>
        <w:t>第七章  投标</w:t>
      </w:r>
      <w:bookmarkEnd w:id="165"/>
      <w:bookmarkEnd w:id="166"/>
      <w:bookmarkEnd w:id="167"/>
      <w:r>
        <w:rPr>
          <w:rFonts w:hint="eastAsia" w:ascii="宋体" w:hAnsi="宋体"/>
          <w:bCs/>
          <w:sz w:val="44"/>
        </w:rPr>
        <w:t>文件格式</w:t>
      </w:r>
      <w:bookmarkEnd w:id="171"/>
    </w:p>
    <w:p>
      <w:pPr>
        <w:ind w:firstLine="1441"/>
        <w:jc w:val="center"/>
        <w:rPr>
          <w:rFonts w:ascii="宋体" w:hAnsi="宋体"/>
          <w:b/>
          <w:sz w:val="72"/>
        </w:rPr>
      </w:pPr>
      <w:bookmarkStart w:id="172" w:name="_Hlt26955039"/>
      <w:bookmarkEnd w:id="172"/>
      <w:bookmarkStart w:id="173" w:name="_Hlt26671244"/>
      <w:bookmarkEnd w:id="173"/>
      <w:bookmarkStart w:id="174" w:name="_Toc120614282"/>
      <w:bookmarkStart w:id="175" w:name="_Toc49090576"/>
      <w:bookmarkStart w:id="176" w:name="_Toc26554094"/>
    </w:p>
    <w:p>
      <w:pPr>
        <w:ind w:firstLine="1441"/>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（资格审查文件）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jc w:val="center"/>
        <w:rPr>
          <w:rFonts w:ascii="宋体" w:hAnsi="宋体"/>
          <w:sz w:val="32"/>
          <w:szCs w:val="32"/>
        </w:rPr>
      </w:pPr>
      <w:r>
        <w:rPr>
          <w:rFonts w:ascii="宋体" w:hAnsi="宋体"/>
          <w:b/>
          <w:bCs/>
          <w:sz w:val="32"/>
          <w:szCs w:val="32"/>
        </w:rPr>
        <w:br w:type="page"/>
      </w:r>
      <w:bookmarkStart w:id="177" w:name="_Toc5230"/>
      <w:bookmarkStart w:id="178" w:name="_Toc397928632"/>
      <w:bookmarkStart w:id="179" w:name="_Toc387526438"/>
      <w:bookmarkStart w:id="180" w:name="_Toc387526242"/>
      <w:bookmarkStart w:id="181" w:name="_Toc387526346"/>
    </w:p>
    <w:p>
      <w:pPr>
        <w:spacing w:line="440" w:lineRule="exact"/>
        <w:jc w:val="center"/>
        <w:rPr>
          <w:rFonts w:ascii="宋体" w:hAnsi="宋体"/>
          <w:b/>
          <w:bCs/>
          <w:sz w:val="36"/>
          <w:szCs w:val="36"/>
        </w:rPr>
      </w:pPr>
      <w:r>
        <w:rPr>
          <w:rFonts w:hint="eastAsia" w:ascii="宋体" w:hAnsi="宋体"/>
          <w:sz w:val="36"/>
          <w:szCs w:val="36"/>
        </w:rPr>
        <w:t>目   录</w:t>
      </w:r>
    </w:p>
    <w:p>
      <w:pPr>
        <w:spacing w:line="460" w:lineRule="atLeast"/>
        <w:ind w:left="786"/>
        <w:rPr>
          <w:rFonts w:ascii="宋体" w:hAnsi="宋体" w:cs="仿宋_GB2312"/>
          <w:sz w:val="24"/>
        </w:rPr>
      </w:pPr>
    </w:p>
    <w:p>
      <w:pPr>
        <w:snapToGrid w:val="0"/>
        <w:spacing w:line="360" w:lineRule="auto"/>
        <w:outlineLvl w:val="0"/>
        <w:rPr>
          <w:rFonts w:ascii="宋体" w:hAnsi="宋体"/>
          <w:bCs/>
          <w:sz w:val="24"/>
        </w:rPr>
      </w:pPr>
      <w:r>
        <w:rPr>
          <w:rFonts w:hint="eastAsia" w:ascii="宋体" w:hAnsi="宋体"/>
          <w:bCs/>
          <w:sz w:val="24"/>
        </w:rPr>
        <w:t>（1）法定代表人参加投标的，必须提供法定代表人身份证明书及本人身份证原件。</w:t>
      </w:r>
    </w:p>
    <w:p>
      <w:pPr>
        <w:snapToGrid w:val="0"/>
        <w:spacing w:line="360" w:lineRule="auto"/>
        <w:outlineLvl w:val="0"/>
        <w:rPr>
          <w:rFonts w:ascii="宋体" w:hAnsi="宋体"/>
          <w:bCs/>
          <w:sz w:val="24"/>
        </w:rPr>
      </w:pPr>
      <w:r>
        <w:rPr>
          <w:rFonts w:hint="eastAsia" w:ascii="宋体" w:hAnsi="宋体"/>
          <w:bCs/>
          <w:sz w:val="24"/>
        </w:rPr>
        <w:t>（2）非法定代表人参加的，必须提供法定代表人亲笔签名的授权委托书原件，并提供授权委托人的身份证原件。</w:t>
      </w:r>
    </w:p>
    <w:p>
      <w:pPr>
        <w:snapToGrid w:val="0"/>
        <w:spacing w:line="360" w:lineRule="auto"/>
        <w:outlineLvl w:val="0"/>
        <w:rPr>
          <w:rFonts w:ascii="宋体" w:hAnsi="宋体"/>
          <w:bCs/>
          <w:sz w:val="24"/>
        </w:rPr>
      </w:pPr>
      <w:r>
        <w:rPr>
          <w:rFonts w:hint="eastAsia" w:ascii="宋体" w:hAnsi="宋体"/>
          <w:bCs/>
          <w:sz w:val="24"/>
        </w:rPr>
        <w:t>（3）具有独立法人资格的投标单位，具有有效的营业执照、组织机构代码证、税务登记证或三证合一的营业执照(经营范围必须包含装卸、搬运业务)。</w:t>
      </w:r>
    </w:p>
    <w:p>
      <w:pPr>
        <w:snapToGrid w:val="0"/>
        <w:spacing w:line="360" w:lineRule="auto"/>
        <w:outlineLvl w:val="0"/>
        <w:rPr>
          <w:rFonts w:ascii="宋体" w:hAnsi="宋体"/>
          <w:bCs/>
          <w:sz w:val="24"/>
        </w:rPr>
      </w:pPr>
      <w:r>
        <w:rPr>
          <w:rFonts w:hint="eastAsia" w:ascii="宋体" w:hAnsi="宋体"/>
          <w:bCs/>
          <w:sz w:val="24"/>
        </w:rPr>
        <w:t>（4）授权委托人养老保险缴费证明。</w:t>
      </w:r>
    </w:p>
    <w:p>
      <w:pPr>
        <w:snapToGrid w:val="0"/>
        <w:spacing w:line="360" w:lineRule="auto"/>
        <w:outlineLvl w:val="0"/>
        <w:rPr>
          <w:rFonts w:ascii="宋体" w:hAnsi="宋体"/>
          <w:bCs/>
          <w:sz w:val="24"/>
        </w:rPr>
      </w:pPr>
      <w:r>
        <w:rPr>
          <w:rFonts w:hint="eastAsia" w:ascii="宋体" w:hAnsi="宋体"/>
          <w:bCs/>
          <w:sz w:val="24"/>
        </w:rPr>
        <w:t>（5）诚信承诺书。</w:t>
      </w:r>
    </w:p>
    <w:p>
      <w:pPr>
        <w:snapToGrid w:val="0"/>
        <w:spacing w:line="360" w:lineRule="auto"/>
        <w:outlineLvl w:val="0"/>
        <w:rPr>
          <w:rFonts w:ascii="宋体" w:hAnsi="宋体"/>
          <w:bCs/>
          <w:sz w:val="24"/>
        </w:rPr>
      </w:pPr>
      <w:r>
        <w:rPr>
          <w:rFonts w:hint="eastAsia" w:ascii="宋体" w:hAnsi="宋体"/>
          <w:bCs/>
          <w:sz w:val="24"/>
        </w:rPr>
        <w:t>（6）</w:t>
      </w:r>
      <w:r>
        <w:rPr>
          <w:rFonts w:hint="eastAsia" w:ascii="宋体" w:hAnsi="宋体"/>
          <w:sz w:val="24"/>
        </w:rPr>
        <w:t>投标单位认为其他必要的材料</w:t>
      </w:r>
      <w:r>
        <w:rPr>
          <w:rFonts w:hint="eastAsia" w:ascii="宋体" w:hAnsi="宋体"/>
          <w:bCs/>
          <w:sz w:val="24"/>
        </w:rPr>
        <w:t>。</w:t>
      </w:r>
    </w:p>
    <w:p>
      <w:pPr>
        <w:snapToGrid w:val="0"/>
        <w:spacing w:line="360" w:lineRule="auto"/>
        <w:outlineLvl w:val="0"/>
        <w:rPr>
          <w:rFonts w:ascii="宋体" w:hAnsi="宋体"/>
          <w:sz w:val="24"/>
        </w:rPr>
      </w:pPr>
    </w:p>
    <w:p>
      <w:pPr>
        <w:snapToGrid w:val="0"/>
        <w:spacing w:line="360" w:lineRule="auto"/>
        <w:outlineLvl w:val="0"/>
        <w:rPr>
          <w:rFonts w:ascii="宋体" w:hAnsi="宋体"/>
          <w:sz w:val="24"/>
        </w:rPr>
      </w:pPr>
      <w:r>
        <w:rPr>
          <w:rFonts w:ascii="宋体" w:hAnsi="宋体"/>
          <w:sz w:val="24"/>
        </w:rPr>
        <w:br w:type="page"/>
      </w:r>
    </w:p>
    <w:p>
      <w:pPr>
        <w:snapToGrid w:val="0"/>
        <w:spacing w:line="360" w:lineRule="auto"/>
        <w:outlineLvl w:val="0"/>
        <w:rPr>
          <w:rFonts w:ascii="宋体" w:hAnsi="宋体" w:cs="仿宋_GB2312"/>
          <w:b/>
          <w:sz w:val="24"/>
        </w:rPr>
      </w:pPr>
    </w:p>
    <w:p>
      <w:pPr>
        <w:snapToGrid w:val="0"/>
        <w:spacing w:line="360" w:lineRule="auto"/>
        <w:jc w:val="center"/>
        <w:outlineLvl w:val="0"/>
        <w:rPr>
          <w:rFonts w:ascii="宋体" w:hAnsi="宋体" w:cs="仿宋_GB2312"/>
          <w:b/>
          <w:bCs/>
          <w:sz w:val="30"/>
          <w:szCs w:val="30"/>
        </w:rPr>
      </w:pPr>
      <w:r>
        <w:rPr>
          <w:rFonts w:hint="eastAsia" w:ascii="宋体" w:hAnsi="宋体" w:cs="仿宋_GB2312"/>
          <w:b/>
          <w:bCs/>
          <w:sz w:val="30"/>
          <w:szCs w:val="30"/>
        </w:rPr>
        <w:t>1、 法定代表人身份证明</w:t>
      </w:r>
    </w:p>
    <w:p>
      <w:pPr>
        <w:snapToGrid w:val="0"/>
        <w:spacing w:line="360" w:lineRule="auto"/>
        <w:jc w:val="center"/>
        <w:rPr>
          <w:rFonts w:ascii="宋体" w:hAnsi="宋体" w:cs="仿宋_GB2312"/>
          <w:sz w:val="23"/>
          <w:szCs w:val="23"/>
        </w:rPr>
      </w:pPr>
    </w:p>
    <w:p>
      <w:pPr>
        <w:snapToGrid w:val="0"/>
        <w:spacing w:line="360" w:lineRule="auto"/>
        <w:jc w:val="center"/>
        <w:rPr>
          <w:rFonts w:ascii="宋体" w:hAnsi="宋体" w:cs="仿宋_GB2312"/>
          <w:sz w:val="23"/>
          <w:szCs w:val="23"/>
        </w:rPr>
      </w:pPr>
    </w:p>
    <w:p>
      <w:pPr>
        <w:pStyle w:val="87"/>
        <w:spacing w:line="360" w:lineRule="auto"/>
        <w:ind w:firstLine="210" w:firstLineChars="100"/>
        <w:rPr>
          <w:rFonts w:hAnsi="宋体" w:cs="宋体"/>
          <w:sz w:val="21"/>
          <w:szCs w:val="21"/>
        </w:rPr>
      </w:pPr>
      <w:r>
        <w:rPr>
          <w:rFonts w:hint="eastAsia" w:hAnsi="宋体" w:cs="宋体"/>
          <w:iCs/>
          <w:sz w:val="21"/>
          <w:szCs w:val="21"/>
          <w:u w:val="single"/>
        </w:rPr>
        <w:t xml:space="preserve">（采购人）          </w:t>
      </w:r>
      <w:r>
        <w:rPr>
          <w:rFonts w:hint="eastAsia" w:hAnsi="宋体" w:cs="宋体"/>
          <w:sz w:val="21"/>
          <w:szCs w:val="21"/>
        </w:rPr>
        <w:t>：</w:t>
      </w:r>
    </w:p>
    <w:p>
      <w:pPr>
        <w:snapToGrid w:val="0"/>
        <w:spacing w:line="600" w:lineRule="exact"/>
        <w:ind w:left="231" w:leftChars="110" w:firstLine="575" w:firstLineChars="250"/>
        <w:rPr>
          <w:rFonts w:ascii="宋体" w:hAnsi="宋体" w:cs="仿宋_GB2312"/>
          <w:sz w:val="23"/>
          <w:szCs w:val="23"/>
        </w:rPr>
      </w:pPr>
      <w:r>
        <w:rPr>
          <w:rFonts w:hint="eastAsia" w:ascii="宋体" w:hAnsi="宋体" w:cs="仿宋_GB2312"/>
          <w:sz w:val="23"/>
          <w:szCs w:val="23"/>
        </w:rPr>
        <w:t>我公司法定代表人参加贵单位组织的</w:t>
      </w:r>
      <w:r>
        <w:rPr>
          <w:rFonts w:hint="eastAsia" w:ascii="宋体" w:hAnsi="宋体" w:cs="仿宋_GB2312"/>
          <w:sz w:val="23"/>
          <w:szCs w:val="23"/>
          <w:u w:val="single"/>
        </w:rPr>
        <w:t xml:space="preserve">（采购项目名称)        </w:t>
      </w:r>
      <w:r>
        <w:rPr>
          <w:rFonts w:hint="eastAsia" w:ascii="宋体" w:hAnsi="宋体" w:cs="仿宋_GB2312"/>
          <w:sz w:val="23"/>
          <w:szCs w:val="23"/>
        </w:rPr>
        <w:t>项目公开招标采购活动，全权代表我公司处理投标的有关事宜。</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附：法定代表人情况：</w:t>
      </w:r>
    </w:p>
    <w:p>
      <w:pPr>
        <w:snapToGrid w:val="0"/>
        <w:spacing w:line="600" w:lineRule="exact"/>
        <w:ind w:firstLine="230" w:firstLineChars="100"/>
        <w:rPr>
          <w:rFonts w:ascii="宋体" w:hAnsi="宋体" w:cs="仿宋_GB2312"/>
          <w:sz w:val="23"/>
          <w:szCs w:val="23"/>
          <w:u w:val="single"/>
        </w:rPr>
      </w:pPr>
      <w:r>
        <w:rPr>
          <w:rFonts w:hint="eastAsia" w:ascii="宋体" w:hAnsi="宋体" w:cs="仿宋_GB2312"/>
          <w:sz w:val="23"/>
          <w:szCs w:val="23"/>
        </w:rPr>
        <w:t>姓名：性别：年龄：职务：</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身份证号码：</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手机：传真：</w:t>
      </w:r>
    </w:p>
    <w:p>
      <w:pPr>
        <w:snapToGrid w:val="0"/>
        <w:spacing w:line="360" w:lineRule="auto"/>
        <w:rPr>
          <w:rFonts w:ascii="宋体" w:hAnsi="宋体" w:cs="仿宋_GB2312"/>
          <w:sz w:val="23"/>
          <w:szCs w:val="23"/>
        </w:rPr>
      </w:pPr>
      <w:r>
        <w:rPr>
          <w:rFonts w:hint="eastAsia" w:ascii="宋体" w:hAnsi="宋体" w:cs="仿宋_GB2312"/>
          <w:sz w:val="23"/>
          <w:szCs w:val="23"/>
        </w:rPr>
        <w:t> </w:t>
      </w:r>
    </w:p>
    <w:p>
      <w:pPr>
        <w:snapToGrid w:val="0"/>
        <w:spacing w:line="360" w:lineRule="auto"/>
        <w:ind w:firstLine="230" w:firstLineChars="1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360" w:lineRule="auto"/>
        <w:ind w:firstLine="230" w:firstLineChars="100"/>
        <w:rPr>
          <w:rFonts w:ascii="宋体" w:hAnsi="宋体" w:cs="仿宋_GB2312"/>
          <w:sz w:val="23"/>
          <w:szCs w:val="23"/>
        </w:rPr>
      </w:pPr>
    </w:p>
    <w:p>
      <w:pPr>
        <w:snapToGrid w:val="0"/>
        <w:spacing w:line="360" w:lineRule="auto"/>
        <w:ind w:firstLine="1495" w:firstLineChars="65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法定代表人身份证复印件（正反两面）</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r>
        <w:rPr>
          <w:rFonts w:hint="eastAsia" w:ascii="宋体" w:hAnsi="宋体" w:cs="仿宋_GB2312"/>
          <w:sz w:val="23"/>
          <w:szCs w:val="23"/>
        </w:rPr>
        <w:t>（粘贴此处）</w:t>
      </w: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rPr>
          <w:rFonts w:ascii="宋体" w:hAnsi="宋体" w:cs="仿宋_GB2312"/>
          <w:b/>
          <w:bCs/>
          <w:sz w:val="23"/>
          <w:szCs w:val="23"/>
        </w:rPr>
      </w:pPr>
      <w:r>
        <w:rPr>
          <w:rFonts w:hint="eastAsia" w:ascii="宋体" w:hAnsi="宋体" w:cs="仿宋_GB2312"/>
          <w:b/>
          <w:bCs/>
          <w:sz w:val="23"/>
          <w:szCs w:val="23"/>
        </w:rPr>
        <w:t>注:参加投标时法定代表人将身份证原件带至开标现场备查</w:t>
      </w:r>
    </w:p>
    <w:p>
      <w:pPr>
        <w:snapToGrid w:val="0"/>
        <w:spacing w:line="360" w:lineRule="auto"/>
        <w:outlineLvl w:val="0"/>
        <w:rPr>
          <w:rFonts w:ascii="宋体" w:hAnsi="宋体" w:cs="仿宋_GB2312"/>
          <w:b/>
          <w:sz w:val="24"/>
        </w:rPr>
      </w:pPr>
    </w:p>
    <w:p>
      <w:pPr>
        <w:snapToGrid w:val="0"/>
        <w:spacing w:line="360" w:lineRule="auto"/>
        <w:outlineLvl w:val="0"/>
        <w:rPr>
          <w:rFonts w:ascii="宋体" w:hAnsi="宋体" w:cs="仿宋_GB2312"/>
          <w:sz w:val="24"/>
        </w:rPr>
      </w:pPr>
      <w:r>
        <w:rPr>
          <w:rFonts w:ascii="宋体" w:hAnsi="宋体" w:cs="仿宋_GB2312"/>
          <w:sz w:val="24"/>
        </w:rPr>
        <w:br w:type="page"/>
      </w:r>
    </w:p>
    <w:p>
      <w:pPr>
        <w:spacing w:line="360" w:lineRule="auto"/>
        <w:contextualSpacing/>
        <w:jc w:val="center"/>
        <w:rPr>
          <w:rFonts w:ascii="宋体" w:hAnsi="宋体" w:cs="仿宋_GB2312"/>
          <w:b/>
          <w:bCs/>
          <w:sz w:val="30"/>
          <w:szCs w:val="30"/>
        </w:rPr>
      </w:pPr>
      <w:r>
        <w:rPr>
          <w:rFonts w:hint="eastAsia" w:ascii="宋体" w:hAnsi="宋体" w:cs="仿宋_GB2312"/>
          <w:b/>
          <w:bCs/>
          <w:sz w:val="30"/>
          <w:szCs w:val="30"/>
        </w:rPr>
        <w:t>2、授权委托书</w:t>
      </w:r>
    </w:p>
    <w:p>
      <w:pPr>
        <w:snapToGrid w:val="0"/>
        <w:spacing w:line="360" w:lineRule="auto"/>
        <w:jc w:val="center"/>
        <w:rPr>
          <w:rFonts w:ascii="宋体" w:hAnsi="宋体" w:cs="仿宋_GB2312"/>
          <w:sz w:val="23"/>
          <w:szCs w:val="23"/>
        </w:rPr>
      </w:pPr>
    </w:p>
    <w:p>
      <w:pPr>
        <w:pStyle w:val="87"/>
        <w:spacing w:line="360" w:lineRule="auto"/>
        <w:rPr>
          <w:rFonts w:hAnsi="宋体" w:cs="宋体"/>
          <w:sz w:val="21"/>
          <w:szCs w:val="21"/>
        </w:rPr>
      </w:pPr>
      <w:r>
        <w:rPr>
          <w:rFonts w:hint="eastAsia" w:hAnsi="宋体" w:cs="宋体"/>
          <w:iCs/>
          <w:sz w:val="21"/>
          <w:szCs w:val="21"/>
          <w:u w:val="single"/>
        </w:rPr>
        <w:t xml:space="preserve">（采购人）           </w:t>
      </w:r>
      <w:r>
        <w:rPr>
          <w:rFonts w:hint="eastAsia" w:hAnsi="宋体" w:cs="宋体"/>
          <w:sz w:val="21"/>
          <w:szCs w:val="21"/>
        </w:rPr>
        <w:t>：</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兹授权</w:t>
      </w:r>
      <w:r>
        <w:rPr>
          <w:rFonts w:hint="eastAsia" w:ascii="宋体" w:hAnsi="宋体" w:cs="仿宋_GB2312"/>
          <w:sz w:val="23"/>
          <w:szCs w:val="23"/>
          <w:u w:val="single"/>
        </w:rPr>
        <w:t xml:space="preserve">     （</w:t>
      </w:r>
      <w:r>
        <w:rPr>
          <w:rFonts w:hint="eastAsia" w:ascii="宋体" w:hAnsi="宋体" w:cs="仿宋_GB2312"/>
          <w:sz w:val="23"/>
          <w:szCs w:val="23"/>
        </w:rPr>
        <w:t>被授权人的姓名）代表我公司参加项目的政府采购活动，全权处理一切与该项目公开招标有关的事务。其在办理上述事宜过程中所签署的所有文件我公司均予以承认。</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附：授权代表情况：</w:t>
      </w:r>
    </w:p>
    <w:p>
      <w:pPr>
        <w:snapToGrid w:val="0"/>
        <w:spacing w:line="600" w:lineRule="exact"/>
        <w:ind w:firstLine="460" w:firstLineChars="200"/>
        <w:rPr>
          <w:rFonts w:ascii="宋体" w:hAnsi="宋体" w:cs="仿宋_GB2312"/>
          <w:sz w:val="23"/>
          <w:szCs w:val="23"/>
          <w:u w:val="single"/>
        </w:rPr>
      </w:pPr>
      <w:r>
        <w:rPr>
          <w:rFonts w:hint="eastAsia" w:ascii="宋体" w:hAnsi="宋体" w:cs="仿宋_GB2312"/>
          <w:sz w:val="23"/>
          <w:szCs w:val="23"/>
        </w:rPr>
        <w:t>姓名：性别：年龄：职务：</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身份证号码：</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手机：传真：</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授权代表身份证复印件（正反两面）</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jc w:val="center"/>
        <w:rPr>
          <w:rFonts w:ascii="宋体" w:hAnsi="宋体" w:cs="仿宋_GB2312"/>
          <w:sz w:val="23"/>
          <w:szCs w:val="23"/>
        </w:rPr>
      </w:pPr>
      <w:r>
        <w:rPr>
          <w:rFonts w:hint="eastAsia" w:ascii="宋体" w:hAnsi="宋体" w:cs="仿宋_GB2312"/>
          <w:sz w:val="23"/>
          <w:szCs w:val="23"/>
        </w:rPr>
        <w:t>（粘贴此处）</w:t>
      </w:r>
    </w:p>
    <w:p>
      <w:pPr>
        <w:snapToGrid w:val="0"/>
        <w:spacing w:line="600" w:lineRule="exact"/>
        <w:ind w:firstLine="460" w:firstLineChars="200"/>
        <w:jc w:val="center"/>
        <w:rPr>
          <w:rFonts w:ascii="宋体" w:hAnsi="宋体" w:cs="仿宋_GB2312"/>
          <w:sz w:val="23"/>
          <w:szCs w:val="23"/>
        </w:rPr>
      </w:pPr>
    </w:p>
    <w:p>
      <w:pPr>
        <w:snapToGrid w:val="0"/>
        <w:spacing w:line="600" w:lineRule="exact"/>
        <w:rPr>
          <w:rFonts w:ascii="宋体" w:hAnsi="宋体" w:cs="仿宋_GB2312"/>
          <w:b/>
          <w:bCs/>
          <w:sz w:val="23"/>
          <w:szCs w:val="23"/>
        </w:rPr>
      </w:pPr>
    </w:p>
    <w:p>
      <w:pPr>
        <w:snapToGrid w:val="0"/>
        <w:spacing w:line="600" w:lineRule="exact"/>
        <w:ind w:firstLine="115" w:firstLineChars="50"/>
        <w:rPr>
          <w:rFonts w:ascii="宋体" w:hAnsi="宋体" w:cs="仿宋_GB2312"/>
          <w:b/>
          <w:bCs/>
          <w:sz w:val="23"/>
          <w:szCs w:val="23"/>
        </w:rPr>
      </w:pPr>
      <w:r>
        <w:rPr>
          <w:rFonts w:hint="eastAsia" w:ascii="宋体" w:hAnsi="宋体" w:cs="仿宋_GB2312"/>
          <w:b/>
          <w:bCs/>
          <w:sz w:val="23"/>
          <w:szCs w:val="23"/>
        </w:rPr>
        <w:t>注:参加投标时被授权代表将身份证原件带至开标现场备查。</w:t>
      </w:r>
    </w:p>
    <w:p>
      <w:pPr>
        <w:pStyle w:val="4"/>
        <w:spacing w:line="500" w:lineRule="exact"/>
        <w:ind w:firstLine="0"/>
        <w:jc w:val="center"/>
        <w:rPr>
          <w:rFonts w:ascii="宋体" w:hAnsi="宋体"/>
          <w:b/>
          <w:bCs/>
          <w:sz w:val="32"/>
          <w:szCs w:val="32"/>
        </w:rPr>
      </w:pPr>
      <w:r>
        <w:rPr>
          <w:rFonts w:hint="eastAsia" w:ascii="宋体" w:hAnsi="宋体" w:cs="仿宋_GB2312"/>
          <w:b/>
          <w:bCs/>
          <w:sz w:val="36"/>
          <w:szCs w:val="36"/>
        </w:rPr>
        <w:br w:type="page"/>
      </w:r>
      <w:bookmarkEnd w:id="177"/>
      <w:bookmarkEnd w:id="178"/>
      <w:bookmarkEnd w:id="179"/>
      <w:bookmarkEnd w:id="180"/>
      <w:bookmarkEnd w:id="181"/>
      <w:r>
        <w:rPr>
          <w:rFonts w:hint="eastAsia" w:ascii="宋体" w:hAnsi="宋体" w:cs="仿宋_GB2312"/>
          <w:b/>
          <w:bCs/>
          <w:sz w:val="30"/>
          <w:szCs w:val="30"/>
        </w:rPr>
        <w:t>3、</w:t>
      </w:r>
      <w:r>
        <w:rPr>
          <w:rFonts w:hint="eastAsia" w:ascii="宋体" w:hAnsi="宋体"/>
          <w:b/>
          <w:bCs/>
          <w:sz w:val="32"/>
          <w:szCs w:val="32"/>
        </w:rPr>
        <w:t>诚信承诺书</w:t>
      </w:r>
    </w:p>
    <w:p>
      <w:pPr>
        <w:pStyle w:val="4"/>
        <w:spacing w:line="500" w:lineRule="exact"/>
        <w:ind w:firstLine="0"/>
        <w:jc w:val="center"/>
        <w:rPr>
          <w:rFonts w:ascii="宋体" w:hAnsi="宋体"/>
        </w:rPr>
      </w:pPr>
    </w:p>
    <w:p>
      <w:pPr>
        <w:spacing w:line="480" w:lineRule="exact"/>
        <w:jc w:val="left"/>
        <w:textAlignment w:val="baseline"/>
        <w:rPr>
          <w:rFonts w:ascii="宋体" w:hAnsi="宋体"/>
          <w:sz w:val="24"/>
        </w:rPr>
      </w:pPr>
      <w:r>
        <w:rPr>
          <w:rFonts w:hint="eastAsia" w:ascii="宋体" w:hAnsi="宋体"/>
          <w:sz w:val="24"/>
        </w:rPr>
        <w:t>致：（招标人名称）</w:t>
      </w:r>
    </w:p>
    <w:p>
      <w:pPr>
        <w:spacing w:line="480" w:lineRule="exact"/>
        <w:ind w:firstLine="480" w:firstLineChars="200"/>
        <w:jc w:val="left"/>
        <w:textAlignment w:val="baseline"/>
        <w:rPr>
          <w:rFonts w:ascii="宋体" w:hAnsi="宋体"/>
          <w:sz w:val="24"/>
        </w:rPr>
      </w:pPr>
      <w:r>
        <w:rPr>
          <w:rFonts w:hint="eastAsia" w:ascii="宋体" w:hAnsi="宋体"/>
          <w:sz w:val="24"/>
        </w:rPr>
        <w:t>我方参加你方的（项目名称）投标，我单位愿意作出以下承诺：</w:t>
      </w:r>
    </w:p>
    <w:p>
      <w:pPr>
        <w:spacing w:line="480" w:lineRule="exact"/>
        <w:ind w:firstLine="480" w:firstLineChars="200"/>
        <w:jc w:val="left"/>
        <w:textAlignment w:val="baseline"/>
        <w:rPr>
          <w:rFonts w:ascii="宋体" w:hAnsi="宋体"/>
          <w:sz w:val="24"/>
        </w:rPr>
      </w:pPr>
      <w:r>
        <w:rPr>
          <w:rFonts w:hint="eastAsia" w:ascii="宋体" w:hAnsi="宋体"/>
          <w:sz w:val="24"/>
        </w:rPr>
        <w:t>1.我单位参与本项目投标，提交的投标文件真实可信。证件及有关附件是真实的，复印件与原件是一致的。绝无借资质、挂靠、提供虚假材料等违规现象。</w:t>
      </w:r>
    </w:p>
    <w:p>
      <w:pPr>
        <w:spacing w:line="480" w:lineRule="exact"/>
        <w:ind w:firstLine="480" w:firstLineChars="200"/>
        <w:jc w:val="left"/>
        <w:textAlignment w:val="baseline"/>
        <w:rPr>
          <w:rFonts w:ascii="宋体" w:hAnsi="宋体"/>
          <w:sz w:val="24"/>
        </w:rPr>
      </w:pPr>
      <w:r>
        <w:rPr>
          <w:rFonts w:hint="eastAsia" w:ascii="宋体" w:hAnsi="宋体"/>
          <w:sz w:val="24"/>
        </w:rPr>
        <w:t>2.我单位遵守国家廉政相关规定，</w:t>
      </w:r>
      <w:r>
        <w:rPr>
          <w:rFonts w:hint="eastAsia" w:hAnsi="宋体" w:cs="宋体"/>
          <w:kern w:val="0"/>
          <w:sz w:val="24"/>
        </w:rPr>
        <w:t>具有良好的银行资信和商业信誉，没有处于被责令停业，投标资格被取消，财产被接管、冻结、破产状态，且不曾在任何合同中有重大违约、</w:t>
      </w:r>
      <w:r>
        <w:rPr>
          <w:rFonts w:hint="eastAsia" w:ascii="宋体" w:hAnsi="宋体"/>
          <w:sz w:val="24"/>
        </w:rPr>
        <w:t>失信、行贿等不良行为。</w:t>
      </w:r>
    </w:p>
    <w:p>
      <w:pPr>
        <w:spacing w:line="480" w:lineRule="exact"/>
        <w:ind w:firstLine="480" w:firstLineChars="200"/>
        <w:jc w:val="left"/>
        <w:textAlignment w:val="baseline"/>
        <w:rPr>
          <w:rFonts w:ascii="宋体" w:hAnsi="宋体"/>
          <w:sz w:val="24"/>
        </w:rPr>
      </w:pPr>
      <w:r>
        <w:rPr>
          <w:rFonts w:hint="eastAsia" w:ascii="宋体" w:hAnsi="宋体"/>
          <w:sz w:val="24"/>
        </w:rPr>
        <w:t>3.若我单位未能兑现以上承诺，愿意接受投标保证金不予退还的处理，并愿意接受业主和监管部门的处罚。</w:t>
      </w: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560" w:lineRule="exact"/>
        <w:ind w:firstLine="2760" w:firstLineChars="1150"/>
        <w:jc w:val="left"/>
        <w:textAlignment w:val="baseline"/>
        <w:rPr>
          <w:rFonts w:ascii="宋体" w:hAnsi="宋体"/>
          <w:sz w:val="24"/>
        </w:rPr>
      </w:pPr>
      <w:r>
        <w:rPr>
          <w:rFonts w:hint="eastAsia" w:ascii="宋体" w:hAnsi="宋体"/>
          <w:sz w:val="24"/>
        </w:rPr>
        <w:t>投标单位（盖法人章）：</w:t>
      </w:r>
    </w:p>
    <w:p>
      <w:pPr>
        <w:spacing w:line="560" w:lineRule="exact"/>
        <w:ind w:firstLine="2760" w:firstLineChars="1150"/>
        <w:jc w:val="left"/>
        <w:textAlignment w:val="baseline"/>
        <w:rPr>
          <w:rFonts w:ascii="宋体" w:hAnsi="宋体"/>
          <w:sz w:val="24"/>
        </w:rPr>
      </w:pPr>
      <w:r>
        <w:rPr>
          <w:rFonts w:hint="eastAsia" w:ascii="宋体" w:hAnsi="宋体"/>
          <w:sz w:val="24"/>
        </w:rPr>
        <w:t>法定代表人（签字或盖章）：</w:t>
      </w:r>
    </w:p>
    <w:p>
      <w:pPr>
        <w:spacing w:line="560" w:lineRule="exact"/>
        <w:ind w:firstLine="480" w:firstLineChars="200"/>
        <w:jc w:val="right"/>
        <w:textAlignment w:val="baseline"/>
        <w:rPr>
          <w:rFonts w:ascii="宋体" w:hAnsi="宋体"/>
          <w:sz w:val="24"/>
        </w:rPr>
      </w:pPr>
      <w:r>
        <w:rPr>
          <w:rFonts w:hint="eastAsia" w:ascii="宋体" w:hAnsi="宋体"/>
          <w:sz w:val="24"/>
        </w:rPr>
        <w:t>年   月  日</w:t>
      </w: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spacing w:line="480" w:lineRule="exact"/>
        <w:ind w:left="360"/>
        <w:jc w:val="left"/>
        <w:rPr>
          <w:rFonts w:ascii="宋体" w:hAnsi="宋体"/>
          <w:bCs/>
          <w:sz w:val="44"/>
        </w:rPr>
      </w:pPr>
    </w:p>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（技术标文件）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ind w:firstLine="1441"/>
        <w:jc w:val="center"/>
        <w:rPr>
          <w:rFonts w:ascii="宋体" w:hAnsi="宋体"/>
          <w:b/>
          <w:sz w:val="72"/>
        </w:rPr>
      </w:pPr>
    </w:p>
    <w:p>
      <w:pPr>
        <w:ind w:firstLine="1441"/>
        <w:jc w:val="center"/>
        <w:rPr>
          <w:rFonts w:ascii="宋体" w:hAnsi="宋体"/>
          <w:b/>
          <w:sz w:val="72"/>
        </w:rPr>
      </w:pPr>
    </w:p>
    <w:p>
      <w:pPr>
        <w:ind w:firstLine="1441"/>
        <w:jc w:val="center"/>
        <w:rPr>
          <w:rFonts w:ascii="宋体" w:hAnsi="宋体"/>
          <w:b/>
          <w:sz w:val="72"/>
        </w:rPr>
      </w:pPr>
    </w:p>
    <w:p>
      <w:pPr>
        <w:jc w:val="left"/>
        <w:rPr>
          <w:rFonts w:ascii="宋体" w:hAnsi="宋体"/>
          <w:sz w:val="24"/>
          <w:szCs w:val="24"/>
        </w:rPr>
      </w:pPr>
    </w:p>
    <w:p>
      <w:pPr>
        <w:jc w:val="left"/>
        <w:rPr>
          <w:rFonts w:ascii="宋体" w:hAnsi="宋体"/>
          <w:sz w:val="24"/>
          <w:szCs w:val="24"/>
        </w:rPr>
      </w:pPr>
    </w:p>
    <w:p>
      <w:pPr>
        <w:autoSpaceDE w:val="0"/>
        <w:autoSpaceDN w:val="0"/>
        <w:adjustRightInd w:val="0"/>
        <w:spacing w:line="360" w:lineRule="auto"/>
        <w:jc w:val="center"/>
        <w:rPr>
          <w:rFonts w:ascii="宋体" w:hAnsi="宋体" w:cs="仿宋_GB2312"/>
          <w:b/>
          <w:bCs/>
          <w:sz w:val="44"/>
          <w:szCs w:val="44"/>
        </w:rPr>
      </w:pPr>
      <w:r>
        <w:rPr>
          <w:rFonts w:hint="eastAsia" w:ascii="宋体" w:hAnsi="宋体" w:cs="仿宋_GB2312"/>
          <w:b/>
          <w:bCs/>
          <w:sz w:val="44"/>
          <w:szCs w:val="44"/>
        </w:rPr>
        <w:t>目    录</w:t>
      </w:r>
    </w:p>
    <w:p>
      <w:pPr>
        <w:ind w:firstLine="120" w:firstLineChars="50"/>
        <w:jc w:val="left"/>
        <w:rPr>
          <w:rFonts w:ascii="宋体" w:hAnsi="宋体"/>
          <w:sz w:val="24"/>
          <w:szCs w:val="24"/>
        </w:rPr>
      </w:pPr>
    </w:p>
    <w:p>
      <w:pPr>
        <w:snapToGrid w:val="0"/>
        <w:spacing w:line="360" w:lineRule="auto"/>
        <w:ind w:firstLine="756" w:firstLineChars="270"/>
        <w:rPr>
          <w:rFonts w:ascii="宋体" w:hAnsi="宋体"/>
          <w:sz w:val="28"/>
          <w:szCs w:val="28"/>
        </w:rPr>
      </w:pPr>
      <w:r>
        <w:rPr>
          <w:rFonts w:hint="eastAsia" w:ascii="宋体" w:hAnsi="宋体"/>
          <w:sz w:val="28"/>
          <w:szCs w:val="28"/>
        </w:rPr>
        <w:t>（1）人员配置情况；</w:t>
      </w:r>
    </w:p>
    <w:p>
      <w:pPr>
        <w:snapToGrid w:val="0"/>
        <w:spacing w:line="360" w:lineRule="auto"/>
        <w:ind w:firstLine="756" w:firstLineChars="270"/>
        <w:rPr>
          <w:rFonts w:ascii="宋体" w:hAnsi="宋体"/>
          <w:sz w:val="28"/>
          <w:szCs w:val="28"/>
        </w:rPr>
      </w:pPr>
      <w:r>
        <w:rPr>
          <w:rFonts w:hint="eastAsia" w:ascii="宋体" w:hAnsi="宋体"/>
          <w:sz w:val="28"/>
          <w:szCs w:val="28"/>
        </w:rPr>
        <w:t>（2）业绩评分；</w:t>
      </w:r>
    </w:p>
    <w:p>
      <w:pPr>
        <w:snapToGrid w:val="0"/>
        <w:spacing w:line="360" w:lineRule="auto"/>
        <w:ind w:firstLine="756" w:firstLineChars="270"/>
        <w:rPr>
          <w:rFonts w:ascii="宋体" w:hAnsi="宋体"/>
          <w:sz w:val="28"/>
          <w:szCs w:val="28"/>
        </w:rPr>
      </w:pPr>
      <w:r>
        <w:rPr>
          <w:rFonts w:hint="eastAsia" w:ascii="宋体" w:hAnsi="宋体"/>
          <w:sz w:val="28"/>
          <w:szCs w:val="28"/>
        </w:rPr>
        <w:t>（3）法定代表人或授权委托人答辩；</w:t>
      </w:r>
    </w:p>
    <w:p>
      <w:pPr>
        <w:snapToGrid w:val="0"/>
        <w:spacing w:line="360" w:lineRule="auto"/>
        <w:ind w:firstLine="756" w:firstLineChars="270"/>
        <w:rPr>
          <w:rFonts w:ascii="宋体" w:hAnsi="宋体"/>
          <w:b/>
          <w:sz w:val="72"/>
        </w:rPr>
      </w:pPr>
      <w:r>
        <w:rPr>
          <w:rFonts w:hint="eastAsia" w:ascii="宋体" w:hAnsi="宋体"/>
          <w:sz w:val="28"/>
          <w:szCs w:val="28"/>
        </w:rPr>
        <w:t>（4）服务方案。</w:t>
      </w: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（商务标文件）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autoSpaceDE w:val="0"/>
        <w:autoSpaceDN w:val="0"/>
        <w:adjustRightInd w:val="0"/>
        <w:spacing w:line="360" w:lineRule="auto"/>
        <w:jc w:val="center"/>
        <w:rPr>
          <w:rFonts w:ascii="宋体" w:hAnsi="宋体"/>
          <w:b/>
          <w:bCs/>
          <w:sz w:val="32"/>
          <w:szCs w:val="32"/>
        </w:rPr>
      </w:pPr>
      <w:r>
        <w:rPr>
          <w:rFonts w:ascii="宋体" w:hAnsi="宋体"/>
          <w:b/>
          <w:bCs/>
          <w:sz w:val="32"/>
          <w:szCs w:val="32"/>
        </w:rPr>
        <w:br w:type="page"/>
      </w:r>
    </w:p>
    <w:p>
      <w:pPr>
        <w:autoSpaceDE w:val="0"/>
        <w:autoSpaceDN w:val="0"/>
        <w:adjustRightInd w:val="0"/>
        <w:spacing w:line="360" w:lineRule="auto"/>
        <w:jc w:val="center"/>
        <w:rPr>
          <w:rFonts w:ascii="宋体" w:hAnsi="宋体" w:cs="仿宋_GB2312"/>
          <w:b/>
          <w:bCs/>
          <w:sz w:val="44"/>
          <w:szCs w:val="44"/>
        </w:rPr>
      </w:pPr>
      <w:r>
        <w:rPr>
          <w:rFonts w:hint="eastAsia" w:ascii="宋体" w:hAnsi="宋体"/>
          <w:b/>
          <w:bCs/>
          <w:sz w:val="44"/>
          <w:szCs w:val="44"/>
        </w:rPr>
        <w:t>目  录</w:t>
      </w:r>
    </w:p>
    <w:p>
      <w:pPr>
        <w:snapToGrid w:val="0"/>
        <w:spacing w:line="360" w:lineRule="auto"/>
        <w:ind w:firstLine="848" w:firstLineChars="303"/>
        <w:outlineLvl w:val="0"/>
        <w:rPr>
          <w:rFonts w:ascii="宋体" w:hAnsi="宋体"/>
          <w:sz w:val="28"/>
          <w:szCs w:val="28"/>
        </w:rPr>
      </w:pPr>
      <w:r>
        <w:rPr>
          <w:rFonts w:hint="eastAsia" w:ascii="宋体" w:hAnsi="宋体"/>
          <w:sz w:val="28"/>
          <w:szCs w:val="28"/>
        </w:rPr>
        <w:t>（1）投标响应函</w:t>
      </w:r>
    </w:p>
    <w:p>
      <w:pPr>
        <w:snapToGrid w:val="0"/>
        <w:spacing w:line="360" w:lineRule="auto"/>
        <w:ind w:firstLine="848" w:firstLineChars="303"/>
        <w:outlineLvl w:val="0"/>
        <w:rPr>
          <w:rFonts w:ascii="宋体" w:hAnsi="宋体"/>
          <w:bCs/>
          <w:sz w:val="28"/>
          <w:szCs w:val="28"/>
        </w:rPr>
      </w:pPr>
      <w:r>
        <w:rPr>
          <w:rFonts w:hint="eastAsia" w:ascii="宋体" w:hAnsi="宋体"/>
          <w:sz w:val="28"/>
          <w:szCs w:val="28"/>
        </w:rPr>
        <w:t>（2）投标响应报价表</w:t>
      </w: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snapToGrid w:val="0"/>
        <w:spacing w:line="480" w:lineRule="auto"/>
        <w:outlineLvl w:val="0"/>
        <w:rPr>
          <w:rFonts w:ascii="宋体" w:hAnsi="宋体"/>
          <w:sz w:val="24"/>
        </w:rPr>
      </w:pPr>
    </w:p>
    <w:p>
      <w:pPr>
        <w:tabs>
          <w:tab w:val="left" w:pos="2070"/>
          <w:tab w:val="center" w:pos="4431"/>
        </w:tabs>
        <w:spacing w:line="360" w:lineRule="auto"/>
        <w:ind w:right="480"/>
        <w:jc w:val="center"/>
        <w:rPr>
          <w:rFonts w:ascii="宋体" w:hAnsi="宋体"/>
          <w:b/>
        </w:rPr>
      </w:pPr>
      <w:r>
        <w:rPr>
          <w:rFonts w:hint="eastAsia" w:ascii="宋体" w:hAnsi="宋体"/>
          <w:b/>
          <w:sz w:val="32"/>
          <w:szCs w:val="32"/>
        </w:rPr>
        <w:t xml:space="preserve">  1、</w:t>
      </w:r>
      <w:r>
        <w:rPr>
          <w:rFonts w:hint="eastAsia" w:ascii="宋体" w:hAnsi="宋体"/>
          <w:b/>
          <w:sz w:val="30"/>
          <w:szCs w:val="30"/>
        </w:rPr>
        <w:t>投标响应函</w:t>
      </w:r>
    </w:p>
    <w:p>
      <w:pPr>
        <w:pStyle w:val="118"/>
        <w:spacing w:line="360" w:lineRule="auto"/>
        <w:rPr>
          <w:rFonts w:hAnsi="宋体" w:cs="宋体"/>
          <w:sz w:val="21"/>
          <w:szCs w:val="21"/>
        </w:rPr>
      </w:pPr>
      <w:r>
        <w:rPr>
          <w:rFonts w:hint="eastAsia" w:hAnsi="宋体" w:cs="宋体"/>
          <w:iCs/>
          <w:sz w:val="21"/>
          <w:szCs w:val="21"/>
          <w:u w:val="single"/>
        </w:rPr>
        <w:t xml:space="preserve">（招标人）     </w:t>
      </w:r>
      <w:r>
        <w:rPr>
          <w:rFonts w:hint="eastAsia" w:hAnsi="宋体" w:cs="宋体"/>
          <w:sz w:val="21"/>
          <w:szCs w:val="21"/>
        </w:rPr>
        <w:t>：</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依据贵单位</w:t>
      </w:r>
      <w:r>
        <w:rPr>
          <w:rFonts w:hint="eastAsia" w:ascii="宋体" w:hAnsi="宋体" w:cs="仿宋_GB2312"/>
          <w:sz w:val="23"/>
          <w:szCs w:val="23"/>
          <w:u w:val="single"/>
        </w:rPr>
        <w:t xml:space="preserve">（采购项目名称)       </w:t>
      </w:r>
      <w:r>
        <w:rPr>
          <w:rFonts w:hint="eastAsia" w:ascii="宋体" w:hAnsi="宋体" w:cs="仿宋_GB2312"/>
          <w:sz w:val="23"/>
          <w:szCs w:val="23"/>
        </w:rPr>
        <w:t>项目公开招标采购的邀请，我方授权</w:t>
      </w:r>
      <w:r>
        <w:rPr>
          <w:rFonts w:hint="eastAsia" w:ascii="宋体" w:hAnsi="宋体" w:cs="仿宋_GB2312"/>
          <w:sz w:val="23"/>
          <w:szCs w:val="23"/>
          <w:u w:val="single"/>
        </w:rPr>
        <w:t xml:space="preserve">（姓名）（职务）     </w:t>
      </w:r>
      <w:r>
        <w:rPr>
          <w:rFonts w:hint="eastAsia" w:ascii="宋体" w:hAnsi="宋体" w:cs="仿宋_GB2312"/>
          <w:sz w:val="23"/>
          <w:szCs w:val="23"/>
        </w:rPr>
        <w:t>为全权代表参加该项目的投标，全权处理本次采购的有关事宜。同时，我公司声明如下：</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1、我方愿遵照招标文件的要求，承担本招标文件的劳务作业服务。同意并接受招标文件的各项要求，遵守招标文件中的各项规定，我方报价满足招标文件的所有要求。</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2、我公司已经详细阅读了全部招标文件及其附件，我方已完全清晰理解招标文件的要求，不存在任何含糊不清和误解之处，同意放弃对这些文件所提出的异议和质疑的权利。</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3、我公司已毫无保留地向贵方提供一切所需的证明材料。</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4、我公司承诺在本次投标文件中提供的一切文件，无论是原件还是复印件均真实有效，绝无任何虚假、伪造和夸大的成份。否则，愿承担相应的后果和法律责任。</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5、我公司尊重评标小组所作的评定结果，同时清楚理解到报价最低并非意味着必定获得成交资格。</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6、一旦我方成交, 我方承诺在施工过程中，遵守招标人的管理、负责配合好各相关部分的工作。</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8、一旦我方成交,我方将根据采购文件的规定，严格履行合同的责任和义务,并保证在招标人规定的时间内完成，交付采购人验收、使用。</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投标人：（加盖公章）</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法定代表人或其授权人：（签字或盖章）</w:t>
      </w:r>
    </w:p>
    <w:p>
      <w:pPr>
        <w:snapToGrid w:val="0"/>
        <w:spacing w:line="500" w:lineRule="exact"/>
        <w:ind w:firstLine="4370" w:firstLineChars="1900"/>
        <w:rPr>
          <w:rFonts w:ascii="宋体" w:hAnsi="宋体" w:cs="仿宋_GB2312"/>
          <w:sz w:val="23"/>
          <w:szCs w:val="23"/>
        </w:rPr>
      </w:pPr>
    </w:p>
    <w:p>
      <w:pPr>
        <w:snapToGrid w:val="0"/>
        <w:spacing w:line="500" w:lineRule="exact"/>
        <w:ind w:firstLine="4370" w:firstLineChars="1900"/>
        <w:rPr>
          <w:rFonts w:ascii="宋体" w:hAnsi="宋体" w:cs="仿宋_GB2312"/>
          <w:sz w:val="23"/>
          <w:szCs w:val="23"/>
        </w:rPr>
      </w:pPr>
      <w:r>
        <w:rPr>
          <w:rFonts w:hint="eastAsia" w:ascii="宋体" w:hAnsi="宋体" w:cs="仿宋_GB2312"/>
          <w:sz w:val="23"/>
          <w:szCs w:val="23"/>
        </w:rPr>
        <w:t xml:space="preserve">  年  月  日</w:t>
      </w: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tabs>
          <w:tab w:val="left" w:pos="2070"/>
          <w:tab w:val="center" w:pos="4431"/>
        </w:tabs>
        <w:spacing w:line="360" w:lineRule="auto"/>
        <w:ind w:right="480"/>
        <w:jc w:val="center"/>
        <w:rPr>
          <w:rFonts w:ascii="宋体" w:hAnsi="宋体"/>
          <w:b/>
          <w:sz w:val="30"/>
          <w:szCs w:val="30"/>
        </w:rPr>
      </w:pPr>
      <w:r>
        <w:rPr>
          <w:rFonts w:hint="eastAsia" w:ascii="宋体" w:hAnsi="宋体"/>
          <w:b/>
          <w:sz w:val="30"/>
          <w:szCs w:val="30"/>
        </w:rPr>
        <w:t>2、投标响应报价表</w:t>
      </w:r>
    </w:p>
    <w:p>
      <w:pPr>
        <w:tabs>
          <w:tab w:val="left" w:pos="2070"/>
          <w:tab w:val="center" w:pos="4431"/>
        </w:tabs>
        <w:spacing w:line="360" w:lineRule="auto"/>
        <w:ind w:right="480"/>
        <w:jc w:val="left"/>
        <w:rPr>
          <w:rFonts w:ascii="宋体" w:hAnsi="宋体"/>
          <w:sz w:val="24"/>
          <w:szCs w:val="24"/>
        </w:rPr>
      </w:pPr>
      <w:r>
        <w:rPr>
          <w:rFonts w:hint="eastAsia" w:ascii="宋体" w:hAnsi="宋体"/>
          <w:sz w:val="24"/>
          <w:szCs w:val="24"/>
        </w:rPr>
        <w:t>表1：</w:t>
      </w:r>
    </w:p>
    <w:tbl>
      <w:tblPr>
        <w:tblStyle w:val="4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275"/>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261" w:type="dxa"/>
            <w:tcBorders>
              <w:top w:val="single" w:color="auto" w:sz="18" w:space="0"/>
              <w:left w:val="single" w:color="auto" w:sz="18" w:space="0"/>
            </w:tcBorders>
            <w:vAlign w:val="center"/>
          </w:tcPr>
          <w:p>
            <w:pPr>
              <w:snapToGrid w:val="0"/>
              <w:spacing w:line="420" w:lineRule="exact"/>
              <w:ind w:left="1133" w:hanging="1132" w:hangingChars="472"/>
              <w:jc w:val="center"/>
              <w:rPr>
                <w:rFonts w:ascii="宋体" w:hAnsi="宋体"/>
                <w:sz w:val="24"/>
                <w:szCs w:val="24"/>
              </w:rPr>
            </w:pPr>
            <w:r>
              <w:rPr>
                <w:rFonts w:hint="eastAsia" w:ascii="宋体" w:hAnsi="宋体"/>
                <w:sz w:val="24"/>
                <w:szCs w:val="24"/>
              </w:rPr>
              <w:t>项目名称</w:t>
            </w:r>
          </w:p>
        </w:tc>
        <w:tc>
          <w:tcPr>
            <w:tcW w:w="1275" w:type="dxa"/>
            <w:tcBorders>
              <w:top w:val="single" w:color="auto" w:sz="18" w:space="0"/>
            </w:tcBorders>
            <w:vAlign w:val="center"/>
          </w:tcPr>
          <w:p>
            <w:pPr>
              <w:snapToGrid w:val="0"/>
              <w:spacing w:line="420" w:lineRule="exact"/>
              <w:ind w:left="1133" w:hanging="1132" w:hangingChars="472"/>
              <w:jc w:val="center"/>
              <w:rPr>
                <w:rFonts w:ascii="宋体" w:hAnsi="宋体"/>
                <w:sz w:val="24"/>
                <w:szCs w:val="24"/>
              </w:rPr>
            </w:pPr>
            <w:r>
              <w:rPr>
                <w:rFonts w:hint="eastAsia" w:ascii="宋体" w:hAnsi="宋体"/>
                <w:sz w:val="24"/>
                <w:szCs w:val="24"/>
              </w:rPr>
              <w:t>服务期限</w:t>
            </w:r>
          </w:p>
        </w:tc>
        <w:tc>
          <w:tcPr>
            <w:tcW w:w="2268" w:type="dxa"/>
            <w:tcBorders>
              <w:top w:val="single" w:color="auto" w:sz="18" w:space="0"/>
            </w:tcBorders>
            <w:vAlign w:val="center"/>
          </w:tcPr>
          <w:p>
            <w:pPr>
              <w:snapToGrid w:val="0"/>
              <w:spacing w:line="420" w:lineRule="exact"/>
              <w:jc w:val="center"/>
              <w:rPr>
                <w:rFonts w:ascii="宋体" w:hAnsi="宋体"/>
                <w:sz w:val="24"/>
                <w:szCs w:val="24"/>
              </w:rPr>
            </w:pPr>
            <w:r>
              <w:rPr>
                <w:rFonts w:hint="eastAsia" w:ascii="宋体" w:hAnsi="宋体"/>
                <w:sz w:val="24"/>
                <w:szCs w:val="24"/>
              </w:rPr>
              <w:t>每月基本劳务服务费（元）</w:t>
            </w:r>
          </w:p>
        </w:tc>
        <w:tc>
          <w:tcPr>
            <w:tcW w:w="2268" w:type="dxa"/>
            <w:tcBorders>
              <w:top w:val="single" w:color="auto" w:sz="18" w:space="0"/>
              <w:right w:val="single" w:color="auto" w:sz="18" w:space="0"/>
            </w:tcBorders>
            <w:vAlign w:val="center"/>
          </w:tcPr>
          <w:p>
            <w:pPr>
              <w:snapToGrid w:val="0"/>
              <w:spacing w:line="420" w:lineRule="exact"/>
              <w:jc w:val="center"/>
              <w:rPr>
                <w:rFonts w:ascii="宋体" w:hAnsi="宋体"/>
                <w:sz w:val="24"/>
                <w:szCs w:val="24"/>
              </w:rPr>
            </w:pPr>
            <w:r>
              <w:rPr>
                <w:rFonts w:hint="eastAsia" w:ascii="宋体" w:hAnsi="宋体"/>
                <w:sz w:val="24"/>
                <w:szCs w:val="24"/>
              </w:rPr>
              <w:t>每月管理服务费</w:t>
            </w:r>
          </w:p>
          <w:p>
            <w:pPr>
              <w:snapToGrid w:val="0"/>
              <w:spacing w:line="420" w:lineRule="exact"/>
              <w:jc w:val="center"/>
              <w:rPr>
                <w:rFonts w:ascii="宋体" w:hAnsi="宋体"/>
                <w:sz w:val="24"/>
                <w:szCs w:val="24"/>
              </w:rPr>
            </w:pPr>
            <w:r>
              <w:rPr>
                <w:rFonts w:hint="eastAsia" w:ascii="宋体" w:hAnsi="宋体"/>
                <w:sz w:val="24"/>
                <w:szCs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3261" w:type="dxa"/>
            <w:tcBorders>
              <w:left w:val="single" w:color="auto" w:sz="18" w:space="0"/>
            </w:tcBorders>
            <w:vAlign w:val="center"/>
          </w:tcPr>
          <w:p>
            <w:pPr>
              <w:snapToGrid w:val="0"/>
              <w:spacing w:line="420" w:lineRule="exact"/>
              <w:ind w:left="2"/>
              <w:rPr>
                <w:rFonts w:ascii="宋体" w:hAnsi="宋体"/>
                <w:sz w:val="24"/>
                <w:szCs w:val="24"/>
              </w:rPr>
            </w:pPr>
            <w:r>
              <w:rPr>
                <w:rFonts w:hint="eastAsia" w:ascii="宋体" w:hAnsi="宋体"/>
                <w:sz w:val="24"/>
                <w:szCs w:val="24"/>
              </w:rPr>
              <w:t>南通农副产品物流有限公司冷链装卸、进出库作业外包项目</w:t>
            </w:r>
          </w:p>
        </w:tc>
        <w:tc>
          <w:tcPr>
            <w:tcW w:w="1275" w:type="dxa"/>
            <w:vAlign w:val="center"/>
          </w:tcPr>
          <w:p>
            <w:pPr>
              <w:snapToGrid w:val="0"/>
              <w:spacing w:line="420" w:lineRule="exact"/>
              <w:ind w:left="2"/>
              <w:jc w:val="center"/>
              <w:rPr>
                <w:rFonts w:ascii="宋体" w:hAnsi="宋体"/>
                <w:sz w:val="24"/>
                <w:szCs w:val="24"/>
              </w:rPr>
            </w:pPr>
            <w:r>
              <w:rPr>
                <w:rFonts w:hint="eastAsia" w:ascii="宋体" w:hAnsi="宋体"/>
                <w:sz w:val="24"/>
                <w:szCs w:val="24"/>
              </w:rPr>
              <w:t>2年</w:t>
            </w:r>
          </w:p>
        </w:tc>
        <w:tc>
          <w:tcPr>
            <w:tcW w:w="2268" w:type="dxa"/>
            <w:vAlign w:val="center"/>
          </w:tcPr>
          <w:p>
            <w:pPr>
              <w:snapToGrid w:val="0"/>
              <w:spacing w:line="420" w:lineRule="exact"/>
              <w:jc w:val="center"/>
              <w:rPr>
                <w:rFonts w:ascii="宋体" w:hAnsi="宋体"/>
                <w:sz w:val="24"/>
                <w:szCs w:val="24"/>
              </w:rPr>
            </w:pPr>
          </w:p>
        </w:tc>
        <w:tc>
          <w:tcPr>
            <w:tcW w:w="2268" w:type="dxa"/>
            <w:tcBorders>
              <w:right w:val="single" w:color="auto" w:sz="18" w:space="0"/>
            </w:tcBorders>
            <w:vAlign w:val="center"/>
          </w:tcPr>
          <w:p>
            <w:pPr>
              <w:snapToGrid w:val="0"/>
              <w:spacing w:line="4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261" w:type="dxa"/>
            <w:tcBorders>
              <w:left w:val="single" w:color="auto" w:sz="18" w:space="0"/>
              <w:bottom w:val="single" w:color="auto" w:sz="18" w:space="0"/>
            </w:tcBorders>
            <w:vAlign w:val="center"/>
          </w:tcPr>
          <w:p>
            <w:pPr>
              <w:snapToGrid w:val="0"/>
              <w:spacing w:line="420" w:lineRule="exact"/>
              <w:ind w:left="2"/>
              <w:jc w:val="center"/>
              <w:rPr>
                <w:rFonts w:ascii="宋体" w:hAnsi="宋体"/>
                <w:sz w:val="24"/>
                <w:szCs w:val="24"/>
              </w:rPr>
            </w:pPr>
            <w:r>
              <w:rPr>
                <w:rFonts w:hint="eastAsia" w:ascii="宋体" w:hAnsi="宋体"/>
                <w:sz w:val="24"/>
                <w:szCs w:val="24"/>
              </w:rPr>
              <w:t>商务付款条件</w:t>
            </w:r>
          </w:p>
        </w:tc>
        <w:tc>
          <w:tcPr>
            <w:tcW w:w="5811" w:type="dxa"/>
            <w:gridSpan w:val="3"/>
            <w:tcBorders>
              <w:bottom w:val="single" w:color="auto" w:sz="18" w:space="0"/>
              <w:right w:val="single" w:color="auto" w:sz="18" w:space="0"/>
            </w:tcBorders>
            <w:vAlign w:val="center"/>
          </w:tcPr>
          <w:p>
            <w:pPr>
              <w:snapToGrid w:val="0"/>
              <w:spacing w:line="420" w:lineRule="exact"/>
              <w:ind w:left="1133" w:hanging="1132" w:hangingChars="472"/>
              <w:jc w:val="center"/>
              <w:rPr>
                <w:rFonts w:ascii="宋体" w:hAnsi="宋体"/>
                <w:sz w:val="24"/>
                <w:szCs w:val="24"/>
              </w:rPr>
            </w:pPr>
            <w:r>
              <w:rPr>
                <w:rFonts w:hint="eastAsia" w:ascii="宋体" w:hAnsi="宋体"/>
                <w:sz w:val="24"/>
                <w:szCs w:val="24"/>
              </w:rPr>
              <w:t>完全接受并响应本项目招标文件的要求。</w:t>
            </w:r>
          </w:p>
        </w:tc>
      </w:tr>
    </w:tbl>
    <w:p>
      <w:pPr>
        <w:snapToGrid w:val="0"/>
        <w:spacing w:line="420" w:lineRule="exact"/>
        <w:ind w:left="1133" w:hanging="1132" w:hangingChars="472"/>
        <w:rPr>
          <w:rFonts w:ascii="宋体" w:hAnsi="宋体"/>
          <w:sz w:val="24"/>
          <w:szCs w:val="24"/>
        </w:rPr>
      </w:pPr>
    </w:p>
    <w:p>
      <w:pPr>
        <w:snapToGrid w:val="0"/>
        <w:spacing w:line="420" w:lineRule="exact"/>
        <w:ind w:left="1133" w:hanging="1132" w:hangingChars="472"/>
        <w:rPr>
          <w:rFonts w:ascii="宋体" w:hAnsi="宋体"/>
          <w:sz w:val="24"/>
          <w:szCs w:val="24"/>
        </w:rPr>
      </w:pPr>
      <w:r>
        <w:rPr>
          <w:rFonts w:hint="eastAsia" w:ascii="宋体" w:hAnsi="宋体"/>
          <w:sz w:val="24"/>
          <w:szCs w:val="24"/>
        </w:rPr>
        <w:t xml:space="preserve">投标人：（盖章）             </w:t>
      </w:r>
    </w:p>
    <w:p>
      <w:pPr>
        <w:snapToGrid w:val="0"/>
        <w:spacing w:line="420" w:lineRule="exact"/>
        <w:ind w:left="1133" w:hanging="1132" w:hangingChars="472"/>
        <w:rPr>
          <w:rFonts w:ascii="宋体" w:hAnsi="宋体"/>
          <w:sz w:val="24"/>
          <w:szCs w:val="24"/>
        </w:rPr>
      </w:pPr>
      <w:r>
        <w:rPr>
          <w:rFonts w:hint="eastAsia" w:ascii="宋体" w:hAnsi="宋体"/>
          <w:sz w:val="24"/>
          <w:szCs w:val="24"/>
        </w:rPr>
        <w:t>法定代表人或被委托受权人（签字或盖章）：</w:t>
      </w:r>
    </w:p>
    <w:p>
      <w:pPr>
        <w:snapToGrid w:val="0"/>
        <w:spacing w:line="420" w:lineRule="exact"/>
        <w:ind w:left="1133" w:hanging="1132" w:hangingChars="472"/>
        <w:rPr>
          <w:rFonts w:ascii="宋体" w:hAnsi="宋体"/>
          <w:sz w:val="24"/>
          <w:szCs w:val="24"/>
        </w:rPr>
      </w:pPr>
      <w:r>
        <w:rPr>
          <w:rFonts w:hint="eastAsia" w:ascii="宋体" w:hAnsi="宋体"/>
          <w:sz w:val="24"/>
          <w:szCs w:val="24"/>
        </w:rPr>
        <w:t>日期：</w:t>
      </w:r>
    </w:p>
    <w:p>
      <w:pPr>
        <w:spacing w:line="360" w:lineRule="auto"/>
        <w:ind w:firstLine="566" w:firstLineChars="236"/>
        <w:contextualSpacing/>
        <w:rPr>
          <w:rFonts w:ascii="宋体" w:hAnsi="宋体"/>
          <w:sz w:val="24"/>
          <w:szCs w:val="24"/>
        </w:rPr>
      </w:pPr>
      <w:r>
        <w:rPr>
          <w:rFonts w:hint="eastAsia" w:ascii="宋体" w:hAnsi="宋体"/>
          <w:sz w:val="24"/>
          <w:szCs w:val="24"/>
        </w:rPr>
        <w:t>注：（1）投标响应报价总表为格式表，不得自行改动，必须提供，否则视为未实质性响应招标文件。</w:t>
      </w:r>
    </w:p>
    <w:p>
      <w:pPr>
        <w:spacing w:line="360" w:lineRule="auto"/>
        <w:ind w:firstLine="566" w:firstLineChars="236"/>
        <w:contextualSpacing/>
        <w:rPr>
          <w:rFonts w:ascii="宋体" w:hAnsi="宋体"/>
          <w:sz w:val="24"/>
          <w:szCs w:val="24"/>
        </w:rPr>
      </w:pPr>
      <w:r>
        <w:rPr>
          <w:rFonts w:hint="eastAsia" w:ascii="宋体" w:hAnsi="宋体"/>
          <w:sz w:val="24"/>
          <w:szCs w:val="24"/>
        </w:rPr>
        <w:t>（2）本项目实际支付的劳务服务费=劳务服务费-超出基本劳务服务费以外的部分*管理服务费费率。如劳务服务费月收入≤基本劳务服务费时，发包方按基本劳务服务费支付，并不再收取管理服务费。</w:t>
      </w:r>
    </w:p>
    <w:p>
      <w:pPr>
        <w:snapToGrid w:val="0"/>
        <w:spacing w:line="360" w:lineRule="auto"/>
        <w:ind w:firstLine="480" w:firstLineChars="200"/>
        <w:rPr>
          <w:rFonts w:ascii="宋体" w:hAnsi="宋体"/>
          <w:sz w:val="24"/>
          <w:szCs w:val="24"/>
        </w:rPr>
      </w:pPr>
      <w:r>
        <w:rPr>
          <w:rFonts w:hint="eastAsia" w:ascii="宋体" w:hAnsi="宋体"/>
          <w:sz w:val="24"/>
          <w:szCs w:val="24"/>
        </w:rPr>
        <w:t>注：1、劳务服务费=每月实际劳务服务工作量*单价（计价基础详见项目需求）。</w:t>
      </w:r>
    </w:p>
    <w:p>
      <w:pPr>
        <w:snapToGrid w:val="0"/>
        <w:spacing w:line="360" w:lineRule="auto"/>
        <w:ind w:firstLine="960" w:firstLineChars="400"/>
        <w:rPr>
          <w:rFonts w:ascii="宋体" w:hAnsi="宋体"/>
          <w:sz w:val="24"/>
          <w:szCs w:val="24"/>
        </w:rPr>
      </w:pPr>
      <w:r>
        <w:rPr>
          <w:rFonts w:hint="eastAsia" w:ascii="宋体" w:hAnsi="宋体"/>
          <w:sz w:val="24"/>
          <w:szCs w:val="24"/>
        </w:rPr>
        <w:t>2、基本劳务服务费=投标人根据以往经验及现场工作量所报价的保本劳务服务费。</w:t>
      </w:r>
    </w:p>
    <w:p>
      <w:pPr>
        <w:spacing w:line="360" w:lineRule="auto"/>
        <w:contextualSpacing/>
        <w:jc w:val="center"/>
        <w:outlineLvl w:val="3"/>
        <w:rPr>
          <w:rFonts w:ascii="宋体" w:hAnsi="宋体"/>
          <w:b/>
          <w:sz w:val="24"/>
          <w:szCs w:val="24"/>
        </w:rPr>
      </w:pPr>
    </w:p>
    <w:bookmarkEnd w:id="162"/>
    <w:bookmarkEnd w:id="163"/>
    <w:bookmarkEnd w:id="174"/>
    <w:bookmarkEnd w:id="175"/>
    <w:bookmarkEnd w:id="176"/>
    <w:p>
      <w:pPr>
        <w:autoSpaceDE w:val="0"/>
        <w:autoSpaceDN w:val="0"/>
        <w:adjustRightInd w:val="0"/>
        <w:spacing w:line="360" w:lineRule="auto"/>
        <w:contextualSpacing/>
        <w:jc w:val="center"/>
        <w:rPr>
          <w:rFonts w:ascii="宋体" w:hAnsi="宋体" w:cs="仿宋_GB2312"/>
          <w:b/>
          <w:bCs/>
          <w:sz w:val="30"/>
          <w:szCs w:val="30"/>
        </w:rPr>
      </w:pPr>
    </w:p>
    <w:sectPr>
      <w:headerReference r:id="rId3" w:type="default"/>
      <w:footerReference r:id="rId4" w:type="default"/>
      <w:footerReference r:id="rId5" w:type="even"/>
      <w:pgSz w:w="11906" w:h="16838"/>
      <w:pgMar w:top="1418" w:right="1418" w:bottom="1418" w:left="1418"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00"/>
    <w:family w:val="script"/>
    <w:pitch w:val="default"/>
    <w:sig w:usb0="00000000" w:usb1="00000000" w:usb2="00000010" w:usb3="00000000" w:csb0="00040000" w:csb1="00000000"/>
  </w:font>
  <w:font w:name="方正小标宋_GBK">
    <w:altName w:val="微软雅黑"/>
    <w:panose1 w:val="00000000000000000000"/>
    <w:charset w:val="00"/>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5</w:t>
    </w:r>
    <w:r>
      <w:rPr>
        <w:lang w:val="zh-CN"/>
      </w:rPr>
      <w:fldChar w:fldCharType="end"/>
    </w:r>
  </w:p>
  <w:p>
    <w:pP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360"/>
      <w:rPr>
        <w:rStyle w:val="49"/>
      </w:rPr>
    </w:pPr>
    <w:r>
      <w:fldChar w:fldCharType="begin"/>
    </w:r>
    <w:r>
      <w:rPr>
        <w:rStyle w:val="49"/>
      </w:rPr>
      <w:instrText xml:space="preserve">PAGE  </w:instrText>
    </w:r>
    <w:r>
      <w:fldChar w:fldCharType="separate"/>
    </w:r>
    <w:r>
      <w:rPr>
        <w:rStyle w:val="49"/>
      </w:rPr>
      <w:t>1</w:t>
    </w:r>
    <w:r>
      <w:fldChar w:fldCharType="end"/>
    </w:r>
  </w:p>
  <w:p>
    <w:pPr>
      <w:pStyle w:val="27"/>
      <w:ind w:firstLine="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1523D"/>
    <w:multiLevelType w:val="multilevel"/>
    <w:tmpl w:val="4C21523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4EE3EC"/>
    <w:multiLevelType w:val="singleLevel"/>
    <w:tmpl w:val="5A4EE3EC"/>
    <w:lvl w:ilvl="0" w:tentative="0">
      <w:start w:val="2"/>
      <w:numFmt w:val="chineseCounting"/>
      <w:suff w:val="nothing"/>
      <w:lvlText w:val="（%1）"/>
      <w:lvlJc w:val="left"/>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9BB7E08"/>
    <w:multiLevelType w:val="multilevel"/>
    <w:tmpl w:val="69BB7E0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3096"/>
    <w:rsid w:val="00003395"/>
    <w:rsid w:val="00005139"/>
    <w:rsid w:val="00005A85"/>
    <w:rsid w:val="00005B6D"/>
    <w:rsid w:val="000060F7"/>
    <w:rsid w:val="000065F6"/>
    <w:rsid w:val="00006B61"/>
    <w:rsid w:val="00006BCB"/>
    <w:rsid w:val="000075E1"/>
    <w:rsid w:val="00012B1C"/>
    <w:rsid w:val="00014861"/>
    <w:rsid w:val="00015877"/>
    <w:rsid w:val="0001609A"/>
    <w:rsid w:val="00016776"/>
    <w:rsid w:val="00020C65"/>
    <w:rsid w:val="00020CA2"/>
    <w:rsid w:val="00020EE5"/>
    <w:rsid w:val="00020FB2"/>
    <w:rsid w:val="00021067"/>
    <w:rsid w:val="00021BC0"/>
    <w:rsid w:val="00022EA6"/>
    <w:rsid w:val="00023634"/>
    <w:rsid w:val="00023FC6"/>
    <w:rsid w:val="000242A5"/>
    <w:rsid w:val="00024B03"/>
    <w:rsid w:val="00024E29"/>
    <w:rsid w:val="00026BBB"/>
    <w:rsid w:val="000270C3"/>
    <w:rsid w:val="000276E8"/>
    <w:rsid w:val="00027F43"/>
    <w:rsid w:val="000307C1"/>
    <w:rsid w:val="00030CA0"/>
    <w:rsid w:val="00031E43"/>
    <w:rsid w:val="00032F71"/>
    <w:rsid w:val="00033D8D"/>
    <w:rsid w:val="000347CB"/>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48B"/>
    <w:rsid w:val="000564CA"/>
    <w:rsid w:val="00056AE9"/>
    <w:rsid w:val="00057073"/>
    <w:rsid w:val="00057ADA"/>
    <w:rsid w:val="0006121F"/>
    <w:rsid w:val="00062851"/>
    <w:rsid w:val="000628C4"/>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AAC"/>
    <w:rsid w:val="000872CB"/>
    <w:rsid w:val="00090BB5"/>
    <w:rsid w:val="0009404B"/>
    <w:rsid w:val="00094406"/>
    <w:rsid w:val="00094B93"/>
    <w:rsid w:val="00094CD5"/>
    <w:rsid w:val="000956B3"/>
    <w:rsid w:val="00096A17"/>
    <w:rsid w:val="00096D4A"/>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1440"/>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17DF"/>
    <w:rsid w:val="000F1C96"/>
    <w:rsid w:val="000F1CDC"/>
    <w:rsid w:val="000F21E9"/>
    <w:rsid w:val="000F299B"/>
    <w:rsid w:val="000F3822"/>
    <w:rsid w:val="000F445B"/>
    <w:rsid w:val="000F5749"/>
    <w:rsid w:val="000F7AE6"/>
    <w:rsid w:val="00101213"/>
    <w:rsid w:val="001022CA"/>
    <w:rsid w:val="001038DC"/>
    <w:rsid w:val="00103966"/>
    <w:rsid w:val="0010432D"/>
    <w:rsid w:val="00105C21"/>
    <w:rsid w:val="001062AB"/>
    <w:rsid w:val="00106600"/>
    <w:rsid w:val="00106A54"/>
    <w:rsid w:val="001076C2"/>
    <w:rsid w:val="0011108A"/>
    <w:rsid w:val="001137D9"/>
    <w:rsid w:val="00113C44"/>
    <w:rsid w:val="00115161"/>
    <w:rsid w:val="00115439"/>
    <w:rsid w:val="00115D7B"/>
    <w:rsid w:val="00115E48"/>
    <w:rsid w:val="00116CC8"/>
    <w:rsid w:val="00117194"/>
    <w:rsid w:val="001209A8"/>
    <w:rsid w:val="00120B27"/>
    <w:rsid w:val="00120E6F"/>
    <w:rsid w:val="00122180"/>
    <w:rsid w:val="0012335D"/>
    <w:rsid w:val="00125683"/>
    <w:rsid w:val="00125FDB"/>
    <w:rsid w:val="00126079"/>
    <w:rsid w:val="00126820"/>
    <w:rsid w:val="00126E1B"/>
    <w:rsid w:val="001271BA"/>
    <w:rsid w:val="00127B10"/>
    <w:rsid w:val="00127CC7"/>
    <w:rsid w:val="00127D50"/>
    <w:rsid w:val="001319A2"/>
    <w:rsid w:val="00132552"/>
    <w:rsid w:val="001331C3"/>
    <w:rsid w:val="00134C5A"/>
    <w:rsid w:val="00135483"/>
    <w:rsid w:val="00136201"/>
    <w:rsid w:val="00136D58"/>
    <w:rsid w:val="00136E0D"/>
    <w:rsid w:val="00137CF4"/>
    <w:rsid w:val="00140C14"/>
    <w:rsid w:val="001419C9"/>
    <w:rsid w:val="0014305A"/>
    <w:rsid w:val="00143AE7"/>
    <w:rsid w:val="00144817"/>
    <w:rsid w:val="0014483C"/>
    <w:rsid w:val="00145E5F"/>
    <w:rsid w:val="001462D7"/>
    <w:rsid w:val="001471B3"/>
    <w:rsid w:val="001474D5"/>
    <w:rsid w:val="00147B72"/>
    <w:rsid w:val="001501E4"/>
    <w:rsid w:val="001503E1"/>
    <w:rsid w:val="00151BCA"/>
    <w:rsid w:val="00152264"/>
    <w:rsid w:val="001524BF"/>
    <w:rsid w:val="00152B03"/>
    <w:rsid w:val="0015339B"/>
    <w:rsid w:val="00153562"/>
    <w:rsid w:val="0015366A"/>
    <w:rsid w:val="001542EE"/>
    <w:rsid w:val="00155193"/>
    <w:rsid w:val="001553EC"/>
    <w:rsid w:val="00155CB8"/>
    <w:rsid w:val="001569DC"/>
    <w:rsid w:val="00157965"/>
    <w:rsid w:val="00160558"/>
    <w:rsid w:val="00161885"/>
    <w:rsid w:val="00161CFC"/>
    <w:rsid w:val="00162263"/>
    <w:rsid w:val="001637E2"/>
    <w:rsid w:val="00163DB6"/>
    <w:rsid w:val="00163ED5"/>
    <w:rsid w:val="00164ABA"/>
    <w:rsid w:val="0016506B"/>
    <w:rsid w:val="00166137"/>
    <w:rsid w:val="00166B0C"/>
    <w:rsid w:val="00167B47"/>
    <w:rsid w:val="001705EF"/>
    <w:rsid w:val="0017062E"/>
    <w:rsid w:val="00170855"/>
    <w:rsid w:val="00171B10"/>
    <w:rsid w:val="001736DE"/>
    <w:rsid w:val="001737F6"/>
    <w:rsid w:val="001742ED"/>
    <w:rsid w:val="001752DD"/>
    <w:rsid w:val="00180009"/>
    <w:rsid w:val="00180909"/>
    <w:rsid w:val="00181408"/>
    <w:rsid w:val="00181531"/>
    <w:rsid w:val="00181970"/>
    <w:rsid w:val="00181B37"/>
    <w:rsid w:val="00181C49"/>
    <w:rsid w:val="00184A09"/>
    <w:rsid w:val="00185B7D"/>
    <w:rsid w:val="001860E5"/>
    <w:rsid w:val="0018667B"/>
    <w:rsid w:val="00186D7F"/>
    <w:rsid w:val="00187A26"/>
    <w:rsid w:val="001909F8"/>
    <w:rsid w:val="001916EA"/>
    <w:rsid w:val="0019175E"/>
    <w:rsid w:val="00192491"/>
    <w:rsid w:val="0019270C"/>
    <w:rsid w:val="00192AA3"/>
    <w:rsid w:val="00193AC6"/>
    <w:rsid w:val="001943E8"/>
    <w:rsid w:val="00196830"/>
    <w:rsid w:val="00197156"/>
    <w:rsid w:val="00197325"/>
    <w:rsid w:val="001979EF"/>
    <w:rsid w:val="00197B96"/>
    <w:rsid w:val="00197C83"/>
    <w:rsid w:val="001A0F57"/>
    <w:rsid w:val="001A121B"/>
    <w:rsid w:val="001A12A4"/>
    <w:rsid w:val="001A16F7"/>
    <w:rsid w:val="001A170E"/>
    <w:rsid w:val="001A2797"/>
    <w:rsid w:val="001A3723"/>
    <w:rsid w:val="001A3D73"/>
    <w:rsid w:val="001A5BDF"/>
    <w:rsid w:val="001B1039"/>
    <w:rsid w:val="001B1654"/>
    <w:rsid w:val="001B2DEF"/>
    <w:rsid w:val="001B4135"/>
    <w:rsid w:val="001B5050"/>
    <w:rsid w:val="001B7E61"/>
    <w:rsid w:val="001B7F0A"/>
    <w:rsid w:val="001C05CA"/>
    <w:rsid w:val="001C14B1"/>
    <w:rsid w:val="001C5C56"/>
    <w:rsid w:val="001C5F27"/>
    <w:rsid w:val="001C6BCA"/>
    <w:rsid w:val="001D01DB"/>
    <w:rsid w:val="001D1208"/>
    <w:rsid w:val="001D1657"/>
    <w:rsid w:val="001D3A18"/>
    <w:rsid w:val="001D4A32"/>
    <w:rsid w:val="001D5CBE"/>
    <w:rsid w:val="001D6B89"/>
    <w:rsid w:val="001D6E74"/>
    <w:rsid w:val="001D769E"/>
    <w:rsid w:val="001E13DE"/>
    <w:rsid w:val="001E1590"/>
    <w:rsid w:val="001E1981"/>
    <w:rsid w:val="001E2637"/>
    <w:rsid w:val="001E61A6"/>
    <w:rsid w:val="001F110F"/>
    <w:rsid w:val="001F15A6"/>
    <w:rsid w:val="001F1B38"/>
    <w:rsid w:val="001F1E6E"/>
    <w:rsid w:val="001F1E9B"/>
    <w:rsid w:val="001F2972"/>
    <w:rsid w:val="001F29AE"/>
    <w:rsid w:val="001F3E1F"/>
    <w:rsid w:val="001F484A"/>
    <w:rsid w:val="001F4DA0"/>
    <w:rsid w:val="001F68D5"/>
    <w:rsid w:val="001F7595"/>
    <w:rsid w:val="00200635"/>
    <w:rsid w:val="00200B9C"/>
    <w:rsid w:val="002015B0"/>
    <w:rsid w:val="00201E97"/>
    <w:rsid w:val="00203A07"/>
    <w:rsid w:val="00203A42"/>
    <w:rsid w:val="00204705"/>
    <w:rsid w:val="002053F1"/>
    <w:rsid w:val="00210ECA"/>
    <w:rsid w:val="00210FE4"/>
    <w:rsid w:val="00211A2F"/>
    <w:rsid w:val="00213E9A"/>
    <w:rsid w:val="00214E78"/>
    <w:rsid w:val="00215C57"/>
    <w:rsid w:val="002173E8"/>
    <w:rsid w:val="00217582"/>
    <w:rsid w:val="002178D7"/>
    <w:rsid w:val="00217A24"/>
    <w:rsid w:val="00222271"/>
    <w:rsid w:val="00222377"/>
    <w:rsid w:val="00222826"/>
    <w:rsid w:val="00223B19"/>
    <w:rsid w:val="0022557A"/>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40FD"/>
    <w:rsid w:val="00244357"/>
    <w:rsid w:val="00244660"/>
    <w:rsid w:val="00244C9A"/>
    <w:rsid w:val="00244FFE"/>
    <w:rsid w:val="00247512"/>
    <w:rsid w:val="00247653"/>
    <w:rsid w:val="002561D3"/>
    <w:rsid w:val="00256269"/>
    <w:rsid w:val="002579EF"/>
    <w:rsid w:val="00260723"/>
    <w:rsid w:val="002607A3"/>
    <w:rsid w:val="00262703"/>
    <w:rsid w:val="00262B72"/>
    <w:rsid w:val="00262FF0"/>
    <w:rsid w:val="00264068"/>
    <w:rsid w:val="00264DD4"/>
    <w:rsid w:val="002664E2"/>
    <w:rsid w:val="0027038C"/>
    <w:rsid w:val="0027077D"/>
    <w:rsid w:val="002716FB"/>
    <w:rsid w:val="00272D91"/>
    <w:rsid w:val="00272F3E"/>
    <w:rsid w:val="00273C9E"/>
    <w:rsid w:val="00273F8C"/>
    <w:rsid w:val="00274A45"/>
    <w:rsid w:val="0027505D"/>
    <w:rsid w:val="002768BE"/>
    <w:rsid w:val="00276A1B"/>
    <w:rsid w:val="00277606"/>
    <w:rsid w:val="00281581"/>
    <w:rsid w:val="00281AE8"/>
    <w:rsid w:val="002821E0"/>
    <w:rsid w:val="00285B12"/>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468E"/>
    <w:rsid w:val="002A5E66"/>
    <w:rsid w:val="002A5EB4"/>
    <w:rsid w:val="002A616A"/>
    <w:rsid w:val="002B21EB"/>
    <w:rsid w:val="002B25E2"/>
    <w:rsid w:val="002B2F79"/>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61A8"/>
    <w:rsid w:val="002C639D"/>
    <w:rsid w:val="002C7A0E"/>
    <w:rsid w:val="002D2D7E"/>
    <w:rsid w:val="002D337E"/>
    <w:rsid w:val="002D49D4"/>
    <w:rsid w:val="002D5A0E"/>
    <w:rsid w:val="002D6427"/>
    <w:rsid w:val="002D78E9"/>
    <w:rsid w:val="002D7C63"/>
    <w:rsid w:val="002E0D36"/>
    <w:rsid w:val="002E106C"/>
    <w:rsid w:val="002E1AC8"/>
    <w:rsid w:val="002E1BAA"/>
    <w:rsid w:val="002E206A"/>
    <w:rsid w:val="002E32E7"/>
    <w:rsid w:val="002E4A78"/>
    <w:rsid w:val="002E7D17"/>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931"/>
    <w:rsid w:val="00307D8B"/>
    <w:rsid w:val="00310219"/>
    <w:rsid w:val="003102E4"/>
    <w:rsid w:val="003107A5"/>
    <w:rsid w:val="00310B47"/>
    <w:rsid w:val="00311404"/>
    <w:rsid w:val="00311F7A"/>
    <w:rsid w:val="00314CE0"/>
    <w:rsid w:val="00314E7F"/>
    <w:rsid w:val="003161E0"/>
    <w:rsid w:val="00320AF9"/>
    <w:rsid w:val="00322731"/>
    <w:rsid w:val="0032284B"/>
    <w:rsid w:val="00322C31"/>
    <w:rsid w:val="0032383B"/>
    <w:rsid w:val="00324629"/>
    <w:rsid w:val="00324942"/>
    <w:rsid w:val="00325BD6"/>
    <w:rsid w:val="00325F10"/>
    <w:rsid w:val="0033180A"/>
    <w:rsid w:val="00331D7D"/>
    <w:rsid w:val="003322AA"/>
    <w:rsid w:val="00332F3A"/>
    <w:rsid w:val="00336A35"/>
    <w:rsid w:val="003372C3"/>
    <w:rsid w:val="00340404"/>
    <w:rsid w:val="00341B1F"/>
    <w:rsid w:val="00341D51"/>
    <w:rsid w:val="00342232"/>
    <w:rsid w:val="00342870"/>
    <w:rsid w:val="00342F58"/>
    <w:rsid w:val="00343976"/>
    <w:rsid w:val="00344A42"/>
    <w:rsid w:val="00345847"/>
    <w:rsid w:val="00345904"/>
    <w:rsid w:val="00346DB2"/>
    <w:rsid w:val="00351E49"/>
    <w:rsid w:val="00351E99"/>
    <w:rsid w:val="003520FD"/>
    <w:rsid w:val="003525AD"/>
    <w:rsid w:val="00352805"/>
    <w:rsid w:val="00352A05"/>
    <w:rsid w:val="00352E10"/>
    <w:rsid w:val="00361325"/>
    <w:rsid w:val="00361414"/>
    <w:rsid w:val="00362B5D"/>
    <w:rsid w:val="0036323C"/>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649E"/>
    <w:rsid w:val="00386BE7"/>
    <w:rsid w:val="00386DF4"/>
    <w:rsid w:val="00387E7E"/>
    <w:rsid w:val="00391A1F"/>
    <w:rsid w:val="00392253"/>
    <w:rsid w:val="00392352"/>
    <w:rsid w:val="003945DB"/>
    <w:rsid w:val="00394F7E"/>
    <w:rsid w:val="003955A2"/>
    <w:rsid w:val="003A09F4"/>
    <w:rsid w:val="003A10F5"/>
    <w:rsid w:val="003A1A6E"/>
    <w:rsid w:val="003A1F62"/>
    <w:rsid w:val="003A3172"/>
    <w:rsid w:val="003A3548"/>
    <w:rsid w:val="003A454B"/>
    <w:rsid w:val="003A4E67"/>
    <w:rsid w:val="003A5A72"/>
    <w:rsid w:val="003A5ED9"/>
    <w:rsid w:val="003A72E5"/>
    <w:rsid w:val="003A7752"/>
    <w:rsid w:val="003B367D"/>
    <w:rsid w:val="003B3E7D"/>
    <w:rsid w:val="003B4663"/>
    <w:rsid w:val="003B5572"/>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26"/>
    <w:rsid w:val="003D7B1B"/>
    <w:rsid w:val="003D7B40"/>
    <w:rsid w:val="003E01CB"/>
    <w:rsid w:val="003E01D7"/>
    <w:rsid w:val="003E11C1"/>
    <w:rsid w:val="003E15AA"/>
    <w:rsid w:val="003E1C45"/>
    <w:rsid w:val="003E2A9C"/>
    <w:rsid w:val="003E2BFA"/>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22C"/>
    <w:rsid w:val="00411481"/>
    <w:rsid w:val="00412922"/>
    <w:rsid w:val="00412A51"/>
    <w:rsid w:val="00414707"/>
    <w:rsid w:val="00414E62"/>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238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47FD0"/>
    <w:rsid w:val="0045274F"/>
    <w:rsid w:val="004541C8"/>
    <w:rsid w:val="0045494F"/>
    <w:rsid w:val="00455243"/>
    <w:rsid w:val="00455782"/>
    <w:rsid w:val="004617B2"/>
    <w:rsid w:val="0046208D"/>
    <w:rsid w:val="0046253F"/>
    <w:rsid w:val="00463646"/>
    <w:rsid w:val="00466E7D"/>
    <w:rsid w:val="00467A78"/>
    <w:rsid w:val="00467D66"/>
    <w:rsid w:val="00470302"/>
    <w:rsid w:val="0047140D"/>
    <w:rsid w:val="0047179B"/>
    <w:rsid w:val="004717D9"/>
    <w:rsid w:val="00472192"/>
    <w:rsid w:val="00472FDE"/>
    <w:rsid w:val="0047387D"/>
    <w:rsid w:val="00474B80"/>
    <w:rsid w:val="00475C95"/>
    <w:rsid w:val="00475D43"/>
    <w:rsid w:val="004765B6"/>
    <w:rsid w:val="004812D1"/>
    <w:rsid w:val="00481BCD"/>
    <w:rsid w:val="00481D7C"/>
    <w:rsid w:val="0048224C"/>
    <w:rsid w:val="00482715"/>
    <w:rsid w:val="004837DF"/>
    <w:rsid w:val="00484815"/>
    <w:rsid w:val="00491419"/>
    <w:rsid w:val="0049146C"/>
    <w:rsid w:val="0049154E"/>
    <w:rsid w:val="00491A79"/>
    <w:rsid w:val="0049301E"/>
    <w:rsid w:val="0049381C"/>
    <w:rsid w:val="004938A4"/>
    <w:rsid w:val="004939DA"/>
    <w:rsid w:val="00494B59"/>
    <w:rsid w:val="00494C4F"/>
    <w:rsid w:val="004959D0"/>
    <w:rsid w:val="0049640C"/>
    <w:rsid w:val="004A099A"/>
    <w:rsid w:val="004A2033"/>
    <w:rsid w:val="004A24E2"/>
    <w:rsid w:val="004A4463"/>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AC8"/>
    <w:rsid w:val="004B4BBB"/>
    <w:rsid w:val="004B4EFA"/>
    <w:rsid w:val="004B57E2"/>
    <w:rsid w:val="004B5BCC"/>
    <w:rsid w:val="004B5E0A"/>
    <w:rsid w:val="004B642D"/>
    <w:rsid w:val="004B6BE7"/>
    <w:rsid w:val="004B77FE"/>
    <w:rsid w:val="004C05E2"/>
    <w:rsid w:val="004C0E60"/>
    <w:rsid w:val="004C1A8F"/>
    <w:rsid w:val="004C30B9"/>
    <w:rsid w:val="004C37E9"/>
    <w:rsid w:val="004C4882"/>
    <w:rsid w:val="004C51B3"/>
    <w:rsid w:val="004C65FE"/>
    <w:rsid w:val="004C6730"/>
    <w:rsid w:val="004C6E51"/>
    <w:rsid w:val="004C7874"/>
    <w:rsid w:val="004C7CC1"/>
    <w:rsid w:val="004D082F"/>
    <w:rsid w:val="004D139B"/>
    <w:rsid w:val="004D13A1"/>
    <w:rsid w:val="004D150E"/>
    <w:rsid w:val="004D1559"/>
    <w:rsid w:val="004D21EC"/>
    <w:rsid w:val="004D2366"/>
    <w:rsid w:val="004D2D47"/>
    <w:rsid w:val="004D36A3"/>
    <w:rsid w:val="004D510B"/>
    <w:rsid w:val="004D6107"/>
    <w:rsid w:val="004E1F96"/>
    <w:rsid w:val="004E275D"/>
    <w:rsid w:val="004E3022"/>
    <w:rsid w:val="004E4130"/>
    <w:rsid w:val="004E4C78"/>
    <w:rsid w:val="004E6338"/>
    <w:rsid w:val="004E6D99"/>
    <w:rsid w:val="004E6F8D"/>
    <w:rsid w:val="004F05B3"/>
    <w:rsid w:val="004F1089"/>
    <w:rsid w:val="004F14E8"/>
    <w:rsid w:val="004F2C95"/>
    <w:rsid w:val="004F34A8"/>
    <w:rsid w:val="004F4AE0"/>
    <w:rsid w:val="004F4B27"/>
    <w:rsid w:val="004F526C"/>
    <w:rsid w:val="004F54BA"/>
    <w:rsid w:val="004F5F7F"/>
    <w:rsid w:val="004F68F2"/>
    <w:rsid w:val="005000FE"/>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BDB"/>
    <w:rsid w:val="00521253"/>
    <w:rsid w:val="0052235F"/>
    <w:rsid w:val="00523439"/>
    <w:rsid w:val="005255BA"/>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2AAC"/>
    <w:rsid w:val="00573003"/>
    <w:rsid w:val="005730F0"/>
    <w:rsid w:val="0057370A"/>
    <w:rsid w:val="00573FB1"/>
    <w:rsid w:val="00576136"/>
    <w:rsid w:val="005764D5"/>
    <w:rsid w:val="005765A1"/>
    <w:rsid w:val="00576A34"/>
    <w:rsid w:val="00577A8A"/>
    <w:rsid w:val="00577FBF"/>
    <w:rsid w:val="0058049C"/>
    <w:rsid w:val="00580792"/>
    <w:rsid w:val="0058113B"/>
    <w:rsid w:val="00581334"/>
    <w:rsid w:val="00581514"/>
    <w:rsid w:val="00582386"/>
    <w:rsid w:val="00582A77"/>
    <w:rsid w:val="00583B02"/>
    <w:rsid w:val="00584B35"/>
    <w:rsid w:val="00584BF4"/>
    <w:rsid w:val="00584ED1"/>
    <w:rsid w:val="00585B72"/>
    <w:rsid w:val="00585C2C"/>
    <w:rsid w:val="005865C7"/>
    <w:rsid w:val="00590237"/>
    <w:rsid w:val="005928C5"/>
    <w:rsid w:val="00592D76"/>
    <w:rsid w:val="005930B9"/>
    <w:rsid w:val="00593A63"/>
    <w:rsid w:val="00595052"/>
    <w:rsid w:val="005955BC"/>
    <w:rsid w:val="00597A56"/>
    <w:rsid w:val="005A0E90"/>
    <w:rsid w:val="005A1B17"/>
    <w:rsid w:val="005A25E7"/>
    <w:rsid w:val="005A26D5"/>
    <w:rsid w:val="005A4222"/>
    <w:rsid w:val="005A5060"/>
    <w:rsid w:val="005A5F8B"/>
    <w:rsid w:val="005A68A5"/>
    <w:rsid w:val="005A6988"/>
    <w:rsid w:val="005A71B8"/>
    <w:rsid w:val="005B0841"/>
    <w:rsid w:val="005B296B"/>
    <w:rsid w:val="005B2A20"/>
    <w:rsid w:val="005B2CDB"/>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888"/>
    <w:rsid w:val="005D4D36"/>
    <w:rsid w:val="005D4F77"/>
    <w:rsid w:val="005D50E5"/>
    <w:rsid w:val="005D62A5"/>
    <w:rsid w:val="005D6EAC"/>
    <w:rsid w:val="005D74B4"/>
    <w:rsid w:val="005E041E"/>
    <w:rsid w:val="005E066A"/>
    <w:rsid w:val="005E08F0"/>
    <w:rsid w:val="005E136D"/>
    <w:rsid w:val="005E209B"/>
    <w:rsid w:val="005E2853"/>
    <w:rsid w:val="005E29D8"/>
    <w:rsid w:val="005E3525"/>
    <w:rsid w:val="005E6190"/>
    <w:rsid w:val="005E6D04"/>
    <w:rsid w:val="005E711C"/>
    <w:rsid w:val="005E78FF"/>
    <w:rsid w:val="005F03B6"/>
    <w:rsid w:val="005F1F14"/>
    <w:rsid w:val="005F2D59"/>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458F"/>
    <w:rsid w:val="00615124"/>
    <w:rsid w:val="00617462"/>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259B"/>
    <w:rsid w:val="00643300"/>
    <w:rsid w:val="006435C5"/>
    <w:rsid w:val="00643856"/>
    <w:rsid w:val="006439B3"/>
    <w:rsid w:val="00643CB6"/>
    <w:rsid w:val="006440DE"/>
    <w:rsid w:val="0064411E"/>
    <w:rsid w:val="00644909"/>
    <w:rsid w:val="00646034"/>
    <w:rsid w:val="00646159"/>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5B11"/>
    <w:rsid w:val="006663FD"/>
    <w:rsid w:val="006670FF"/>
    <w:rsid w:val="0066750D"/>
    <w:rsid w:val="00667FE4"/>
    <w:rsid w:val="00670BFB"/>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6A8C"/>
    <w:rsid w:val="006B0BFF"/>
    <w:rsid w:val="006B1A6E"/>
    <w:rsid w:val="006B1F13"/>
    <w:rsid w:val="006B21C1"/>
    <w:rsid w:val="006B31B9"/>
    <w:rsid w:val="006B3800"/>
    <w:rsid w:val="006B52E4"/>
    <w:rsid w:val="006B5644"/>
    <w:rsid w:val="006B622E"/>
    <w:rsid w:val="006B79BE"/>
    <w:rsid w:val="006C0E92"/>
    <w:rsid w:val="006C2552"/>
    <w:rsid w:val="006C306C"/>
    <w:rsid w:val="006C3AAD"/>
    <w:rsid w:val="006C4BEC"/>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18A5"/>
    <w:rsid w:val="007019DA"/>
    <w:rsid w:val="00702200"/>
    <w:rsid w:val="007027BB"/>
    <w:rsid w:val="00702BCF"/>
    <w:rsid w:val="00703613"/>
    <w:rsid w:val="00703B69"/>
    <w:rsid w:val="0070457E"/>
    <w:rsid w:val="00705753"/>
    <w:rsid w:val="00707F7E"/>
    <w:rsid w:val="0071001E"/>
    <w:rsid w:val="00711682"/>
    <w:rsid w:val="00713650"/>
    <w:rsid w:val="007150B2"/>
    <w:rsid w:val="00717537"/>
    <w:rsid w:val="0072060B"/>
    <w:rsid w:val="00720AAE"/>
    <w:rsid w:val="00723AD7"/>
    <w:rsid w:val="0072786F"/>
    <w:rsid w:val="00731C0A"/>
    <w:rsid w:val="0073414D"/>
    <w:rsid w:val="007342A5"/>
    <w:rsid w:val="00734AAC"/>
    <w:rsid w:val="00734AFF"/>
    <w:rsid w:val="0073782C"/>
    <w:rsid w:val="00737A99"/>
    <w:rsid w:val="00740F5D"/>
    <w:rsid w:val="007418DD"/>
    <w:rsid w:val="00741C57"/>
    <w:rsid w:val="00742346"/>
    <w:rsid w:val="0074243F"/>
    <w:rsid w:val="00742A78"/>
    <w:rsid w:val="00743FDA"/>
    <w:rsid w:val="00744352"/>
    <w:rsid w:val="00744ED3"/>
    <w:rsid w:val="0074612B"/>
    <w:rsid w:val="007464BF"/>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67CE0"/>
    <w:rsid w:val="0077182E"/>
    <w:rsid w:val="007729B6"/>
    <w:rsid w:val="00772EA8"/>
    <w:rsid w:val="00773134"/>
    <w:rsid w:val="00775AB0"/>
    <w:rsid w:val="0077790B"/>
    <w:rsid w:val="007806F8"/>
    <w:rsid w:val="0078081B"/>
    <w:rsid w:val="007812D1"/>
    <w:rsid w:val="0078195A"/>
    <w:rsid w:val="00783283"/>
    <w:rsid w:val="00783A8D"/>
    <w:rsid w:val="00784C9B"/>
    <w:rsid w:val="00785824"/>
    <w:rsid w:val="00785E00"/>
    <w:rsid w:val="00786355"/>
    <w:rsid w:val="0078681D"/>
    <w:rsid w:val="00790456"/>
    <w:rsid w:val="00790E74"/>
    <w:rsid w:val="00791200"/>
    <w:rsid w:val="00792334"/>
    <w:rsid w:val="007926F2"/>
    <w:rsid w:val="00793722"/>
    <w:rsid w:val="0079372E"/>
    <w:rsid w:val="00795B18"/>
    <w:rsid w:val="00795BCB"/>
    <w:rsid w:val="00796140"/>
    <w:rsid w:val="007970B0"/>
    <w:rsid w:val="0079788C"/>
    <w:rsid w:val="007A0411"/>
    <w:rsid w:val="007A0C69"/>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3D4B"/>
    <w:rsid w:val="007D40DB"/>
    <w:rsid w:val="007D57D4"/>
    <w:rsid w:val="007D584B"/>
    <w:rsid w:val="007D7770"/>
    <w:rsid w:val="007D7B4A"/>
    <w:rsid w:val="007D7F35"/>
    <w:rsid w:val="007E086A"/>
    <w:rsid w:val="007E098F"/>
    <w:rsid w:val="007E0DC0"/>
    <w:rsid w:val="007E13A4"/>
    <w:rsid w:val="007E15B4"/>
    <w:rsid w:val="007E18E6"/>
    <w:rsid w:val="007E1ECB"/>
    <w:rsid w:val="007E4057"/>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53B"/>
    <w:rsid w:val="007F762F"/>
    <w:rsid w:val="007F7A37"/>
    <w:rsid w:val="008006D8"/>
    <w:rsid w:val="00800F9C"/>
    <w:rsid w:val="00801A93"/>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3F82"/>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F2"/>
    <w:rsid w:val="008746B5"/>
    <w:rsid w:val="008753E1"/>
    <w:rsid w:val="0087753B"/>
    <w:rsid w:val="0088054A"/>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7359"/>
    <w:rsid w:val="00897744"/>
    <w:rsid w:val="008A0E05"/>
    <w:rsid w:val="008A26E2"/>
    <w:rsid w:val="008A3002"/>
    <w:rsid w:val="008A300C"/>
    <w:rsid w:val="008A397D"/>
    <w:rsid w:val="008A63E4"/>
    <w:rsid w:val="008B1419"/>
    <w:rsid w:val="008B1D69"/>
    <w:rsid w:val="008B2962"/>
    <w:rsid w:val="008B2CEF"/>
    <w:rsid w:val="008B382F"/>
    <w:rsid w:val="008B38C9"/>
    <w:rsid w:val="008B3D5C"/>
    <w:rsid w:val="008B67D1"/>
    <w:rsid w:val="008B7BC9"/>
    <w:rsid w:val="008C1065"/>
    <w:rsid w:val="008C1804"/>
    <w:rsid w:val="008C207B"/>
    <w:rsid w:val="008C25C6"/>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2A5D"/>
    <w:rsid w:val="008F4640"/>
    <w:rsid w:val="008F57EB"/>
    <w:rsid w:val="008F682E"/>
    <w:rsid w:val="008F6BD2"/>
    <w:rsid w:val="008F79A3"/>
    <w:rsid w:val="008F7B07"/>
    <w:rsid w:val="008F7B43"/>
    <w:rsid w:val="00900246"/>
    <w:rsid w:val="00900571"/>
    <w:rsid w:val="00900990"/>
    <w:rsid w:val="00901939"/>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510"/>
    <w:rsid w:val="00912D30"/>
    <w:rsid w:val="00912FB4"/>
    <w:rsid w:val="00914CA7"/>
    <w:rsid w:val="00914E35"/>
    <w:rsid w:val="00915589"/>
    <w:rsid w:val="00915CF4"/>
    <w:rsid w:val="00916AC0"/>
    <w:rsid w:val="009170C0"/>
    <w:rsid w:val="009173DA"/>
    <w:rsid w:val="0091772D"/>
    <w:rsid w:val="00917CFF"/>
    <w:rsid w:val="00920310"/>
    <w:rsid w:val="00920316"/>
    <w:rsid w:val="009205DA"/>
    <w:rsid w:val="00922D59"/>
    <w:rsid w:val="009231B3"/>
    <w:rsid w:val="0092395E"/>
    <w:rsid w:val="00924023"/>
    <w:rsid w:val="009254ED"/>
    <w:rsid w:val="009259FA"/>
    <w:rsid w:val="00930254"/>
    <w:rsid w:val="009307C6"/>
    <w:rsid w:val="0093330F"/>
    <w:rsid w:val="0093364F"/>
    <w:rsid w:val="009336C7"/>
    <w:rsid w:val="009336D5"/>
    <w:rsid w:val="00934CFF"/>
    <w:rsid w:val="009357E0"/>
    <w:rsid w:val="00940C28"/>
    <w:rsid w:val="0094153D"/>
    <w:rsid w:val="009431CB"/>
    <w:rsid w:val="00944186"/>
    <w:rsid w:val="009450F7"/>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611DC"/>
    <w:rsid w:val="009614B9"/>
    <w:rsid w:val="00961B5B"/>
    <w:rsid w:val="00961C6D"/>
    <w:rsid w:val="009625BD"/>
    <w:rsid w:val="009657AC"/>
    <w:rsid w:val="00965AB4"/>
    <w:rsid w:val="00967E3C"/>
    <w:rsid w:val="00970247"/>
    <w:rsid w:val="00970DDE"/>
    <w:rsid w:val="00972B53"/>
    <w:rsid w:val="00972BBD"/>
    <w:rsid w:val="00973CD7"/>
    <w:rsid w:val="009759EB"/>
    <w:rsid w:val="00976444"/>
    <w:rsid w:val="00976F6D"/>
    <w:rsid w:val="00977021"/>
    <w:rsid w:val="00980864"/>
    <w:rsid w:val="00980F90"/>
    <w:rsid w:val="0098246B"/>
    <w:rsid w:val="0098419E"/>
    <w:rsid w:val="009848B7"/>
    <w:rsid w:val="00985049"/>
    <w:rsid w:val="00985097"/>
    <w:rsid w:val="0098525D"/>
    <w:rsid w:val="00990942"/>
    <w:rsid w:val="009911AA"/>
    <w:rsid w:val="009922DE"/>
    <w:rsid w:val="00992537"/>
    <w:rsid w:val="00994401"/>
    <w:rsid w:val="00994748"/>
    <w:rsid w:val="00994BD6"/>
    <w:rsid w:val="0099727E"/>
    <w:rsid w:val="0099728D"/>
    <w:rsid w:val="00997FE2"/>
    <w:rsid w:val="009A0A1F"/>
    <w:rsid w:val="009A1131"/>
    <w:rsid w:val="009A12C4"/>
    <w:rsid w:val="009A32D4"/>
    <w:rsid w:val="009A36A4"/>
    <w:rsid w:val="009A4BB3"/>
    <w:rsid w:val="009A530D"/>
    <w:rsid w:val="009A5BC0"/>
    <w:rsid w:val="009A5E5C"/>
    <w:rsid w:val="009A6363"/>
    <w:rsid w:val="009A7DDA"/>
    <w:rsid w:val="009A7F7B"/>
    <w:rsid w:val="009B0B41"/>
    <w:rsid w:val="009B179B"/>
    <w:rsid w:val="009B1E73"/>
    <w:rsid w:val="009B40E2"/>
    <w:rsid w:val="009B460F"/>
    <w:rsid w:val="009B6C6A"/>
    <w:rsid w:val="009B711D"/>
    <w:rsid w:val="009B7A54"/>
    <w:rsid w:val="009C0036"/>
    <w:rsid w:val="009C0E3E"/>
    <w:rsid w:val="009C1580"/>
    <w:rsid w:val="009C2DEE"/>
    <w:rsid w:val="009C2EB5"/>
    <w:rsid w:val="009C4A2D"/>
    <w:rsid w:val="009C5274"/>
    <w:rsid w:val="009C6772"/>
    <w:rsid w:val="009C79C1"/>
    <w:rsid w:val="009D20D4"/>
    <w:rsid w:val="009D2762"/>
    <w:rsid w:val="009D43FF"/>
    <w:rsid w:val="009D6C90"/>
    <w:rsid w:val="009D75AF"/>
    <w:rsid w:val="009D7F72"/>
    <w:rsid w:val="009E040B"/>
    <w:rsid w:val="009E108F"/>
    <w:rsid w:val="009E1225"/>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FC"/>
    <w:rsid w:val="00A1763F"/>
    <w:rsid w:val="00A17718"/>
    <w:rsid w:val="00A177AD"/>
    <w:rsid w:val="00A17B4F"/>
    <w:rsid w:val="00A17C73"/>
    <w:rsid w:val="00A2020B"/>
    <w:rsid w:val="00A205AE"/>
    <w:rsid w:val="00A209F6"/>
    <w:rsid w:val="00A20D23"/>
    <w:rsid w:val="00A21033"/>
    <w:rsid w:val="00A21B14"/>
    <w:rsid w:val="00A2219B"/>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40C9D"/>
    <w:rsid w:val="00A427B8"/>
    <w:rsid w:val="00A43517"/>
    <w:rsid w:val="00A438FE"/>
    <w:rsid w:val="00A4415C"/>
    <w:rsid w:val="00A455ED"/>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979"/>
    <w:rsid w:val="00A65037"/>
    <w:rsid w:val="00A6644A"/>
    <w:rsid w:val="00A672C9"/>
    <w:rsid w:val="00A6780D"/>
    <w:rsid w:val="00A6781E"/>
    <w:rsid w:val="00A70254"/>
    <w:rsid w:val="00A711E3"/>
    <w:rsid w:val="00A719CB"/>
    <w:rsid w:val="00A71D22"/>
    <w:rsid w:val="00A73159"/>
    <w:rsid w:val="00A73426"/>
    <w:rsid w:val="00A74FAB"/>
    <w:rsid w:val="00A751FA"/>
    <w:rsid w:val="00A75CA6"/>
    <w:rsid w:val="00A75CB3"/>
    <w:rsid w:val="00A77DDE"/>
    <w:rsid w:val="00A80375"/>
    <w:rsid w:val="00A8054F"/>
    <w:rsid w:val="00A80FEC"/>
    <w:rsid w:val="00A8123C"/>
    <w:rsid w:val="00A813A5"/>
    <w:rsid w:val="00A81744"/>
    <w:rsid w:val="00A8483F"/>
    <w:rsid w:val="00A90378"/>
    <w:rsid w:val="00A90604"/>
    <w:rsid w:val="00A911C5"/>
    <w:rsid w:val="00A92701"/>
    <w:rsid w:val="00A92DAF"/>
    <w:rsid w:val="00A932DB"/>
    <w:rsid w:val="00A94ECD"/>
    <w:rsid w:val="00A9567D"/>
    <w:rsid w:val="00A97664"/>
    <w:rsid w:val="00AA1E45"/>
    <w:rsid w:val="00AA1F20"/>
    <w:rsid w:val="00AA2174"/>
    <w:rsid w:val="00AA2D3A"/>
    <w:rsid w:val="00AA5269"/>
    <w:rsid w:val="00AA74D7"/>
    <w:rsid w:val="00AA7A8F"/>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AA0"/>
    <w:rsid w:val="00AC6F7A"/>
    <w:rsid w:val="00AC6FC4"/>
    <w:rsid w:val="00AC779B"/>
    <w:rsid w:val="00AD0C62"/>
    <w:rsid w:val="00AD1CD8"/>
    <w:rsid w:val="00AD4439"/>
    <w:rsid w:val="00AD47D3"/>
    <w:rsid w:val="00AD7E7D"/>
    <w:rsid w:val="00AE07B7"/>
    <w:rsid w:val="00AE2971"/>
    <w:rsid w:val="00AE2AF0"/>
    <w:rsid w:val="00AE3657"/>
    <w:rsid w:val="00AE3DE8"/>
    <w:rsid w:val="00AE5977"/>
    <w:rsid w:val="00AE5C2B"/>
    <w:rsid w:val="00AE6164"/>
    <w:rsid w:val="00AE6616"/>
    <w:rsid w:val="00AE6F19"/>
    <w:rsid w:val="00AE7655"/>
    <w:rsid w:val="00AE7B10"/>
    <w:rsid w:val="00AF0AF5"/>
    <w:rsid w:val="00AF1336"/>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6AB"/>
    <w:rsid w:val="00B22655"/>
    <w:rsid w:val="00B22DE7"/>
    <w:rsid w:val="00B23A69"/>
    <w:rsid w:val="00B245AB"/>
    <w:rsid w:val="00B2583C"/>
    <w:rsid w:val="00B25AA0"/>
    <w:rsid w:val="00B25BAB"/>
    <w:rsid w:val="00B260BA"/>
    <w:rsid w:val="00B26136"/>
    <w:rsid w:val="00B26BE5"/>
    <w:rsid w:val="00B275CC"/>
    <w:rsid w:val="00B2769E"/>
    <w:rsid w:val="00B301A6"/>
    <w:rsid w:val="00B302B9"/>
    <w:rsid w:val="00B30553"/>
    <w:rsid w:val="00B31CB8"/>
    <w:rsid w:val="00B31F85"/>
    <w:rsid w:val="00B323EC"/>
    <w:rsid w:val="00B33990"/>
    <w:rsid w:val="00B33AB1"/>
    <w:rsid w:val="00B3408E"/>
    <w:rsid w:val="00B35352"/>
    <w:rsid w:val="00B35DF2"/>
    <w:rsid w:val="00B35EE6"/>
    <w:rsid w:val="00B36ED6"/>
    <w:rsid w:val="00B36FE3"/>
    <w:rsid w:val="00B37C3B"/>
    <w:rsid w:val="00B4135E"/>
    <w:rsid w:val="00B4186B"/>
    <w:rsid w:val="00B42595"/>
    <w:rsid w:val="00B42FDA"/>
    <w:rsid w:val="00B4386D"/>
    <w:rsid w:val="00B43D86"/>
    <w:rsid w:val="00B446F3"/>
    <w:rsid w:val="00B474F0"/>
    <w:rsid w:val="00B47AA5"/>
    <w:rsid w:val="00B5088D"/>
    <w:rsid w:val="00B52B33"/>
    <w:rsid w:val="00B52F51"/>
    <w:rsid w:val="00B535DF"/>
    <w:rsid w:val="00B53B58"/>
    <w:rsid w:val="00B53EB6"/>
    <w:rsid w:val="00B54AF8"/>
    <w:rsid w:val="00B552BB"/>
    <w:rsid w:val="00B55C65"/>
    <w:rsid w:val="00B57615"/>
    <w:rsid w:val="00B609BC"/>
    <w:rsid w:val="00B61939"/>
    <w:rsid w:val="00B62C7E"/>
    <w:rsid w:val="00B6330B"/>
    <w:rsid w:val="00B633CA"/>
    <w:rsid w:val="00B63F50"/>
    <w:rsid w:val="00B64EFE"/>
    <w:rsid w:val="00B65159"/>
    <w:rsid w:val="00B65B8E"/>
    <w:rsid w:val="00B66178"/>
    <w:rsid w:val="00B66B46"/>
    <w:rsid w:val="00B66D0E"/>
    <w:rsid w:val="00B66D7B"/>
    <w:rsid w:val="00B67007"/>
    <w:rsid w:val="00B701C5"/>
    <w:rsid w:val="00B7127A"/>
    <w:rsid w:val="00B712C5"/>
    <w:rsid w:val="00B718AC"/>
    <w:rsid w:val="00B71DD3"/>
    <w:rsid w:val="00B722FE"/>
    <w:rsid w:val="00B76B52"/>
    <w:rsid w:val="00B8030E"/>
    <w:rsid w:val="00B80FF2"/>
    <w:rsid w:val="00B82ED6"/>
    <w:rsid w:val="00B83205"/>
    <w:rsid w:val="00B835E8"/>
    <w:rsid w:val="00B849FF"/>
    <w:rsid w:val="00B86B36"/>
    <w:rsid w:val="00B90992"/>
    <w:rsid w:val="00B90CCB"/>
    <w:rsid w:val="00B9156A"/>
    <w:rsid w:val="00B91C6E"/>
    <w:rsid w:val="00B928F9"/>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22A"/>
    <w:rsid w:val="00BA6B99"/>
    <w:rsid w:val="00BA7049"/>
    <w:rsid w:val="00BA771E"/>
    <w:rsid w:val="00BA7E62"/>
    <w:rsid w:val="00BB0753"/>
    <w:rsid w:val="00BB10DC"/>
    <w:rsid w:val="00BB18F2"/>
    <w:rsid w:val="00BB2C25"/>
    <w:rsid w:val="00BB2F09"/>
    <w:rsid w:val="00BB3CAB"/>
    <w:rsid w:val="00BB43C6"/>
    <w:rsid w:val="00BB4472"/>
    <w:rsid w:val="00BB639E"/>
    <w:rsid w:val="00BB65E6"/>
    <w:rsid w:val="00BC0B01"/>
    <w:rsid w:val="00BC2661"/>
    <w:rsid w:val="00BC3ACB"/>
    <w:rsid w:val="00BC3E5E"/>
    <w:rsid w:val="00BC4133"/>
    <w:rsid w:val="00BC43E6"/>
    <w:rsid w:val="00BC4571"/>
    <w:rsid w:val="00BC4720"/>
    <w:rsid w:val="00BC576C"/>
    <w:rsid w:val="00BC594F"/>
    <w:rsid w:val="00BC610C"/>
    <w:rsid w:val="00BC6AB5"/>
    <w:rsid w:val="00BD3875"/>
    <w:rsid w:val="00BD4B00"/>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07A72"/>
    <w:rsid w:val="00C102E5"/>
    <w:rsid w:val="00C116E6"/>
    <w:rsid w:val="00C11A3C"/>
    <w:rsid w:val="00C11B62"/>
    <w:rsid w:val="00C13432"/>
    <w:rsid w:val="00C1372B"/>
    <w:rsid w:val="00C13B01"/>
    <w:rsid w:val="00C14773"/>
    <w:rsid w:val="00C15767"/>
    <w:rsid w:val="00C163C2"/>
    <w:rsid w:val="00C170B7"/>
    <w:rsid w:val="00C177DA"/>
    <w:rsid w:val="00C209FA"/>
    <w:rsid w:val="00C20C24"/>
    <w:rsid w:val="00C211F3"/>
    <w:rsid w:val="00C21933"/>
    <w:rsid w:val="00C2244B"/>
    <w:rsid w:val="00C226BD"/>
    <w:rsid w:val="00C22796"/>
    <w:rsid w:val="00C22CFD"/>
    <w:rsid w:val="00C233A4"/>
    <w:rsid w:val="00C2418D"/>
    <w:rsid w:val="00C247B6"/>
    <w:rsid w:val="00C24C12"/>
    <w:rsid w:val="00C2690D"/>
    <w:rsid w:val="00C26D1F"/>
    <w:rsid w:val="00C26DB6"/>
    <w:rsid w:val="00C302D0"/>
    <w:rsid w:val="00C30BDD"/>
    <w:rsid w:val="00C30F62"/>
    <w:rsid w:val="00C319A5"/>
    <w:rsid w:val="00C33680"/>
    <w:rsid w:val="00C34AAA"/>
    <w:rsid w:val="00C40C6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59D6"/>
    <w:rsid w:val="00C95BE2"/>
    <w:rsid w:val="00C97BF9"/>
    <w:rsid w:val="00CA0DCF"/>
    <w:rsid w:val="00CA1014"/>
    <w:rsid w:val="00CA1138"/>
    <w:rsid w:val="00CA2FB5"/>
    <w:rsid w:val="00CA3E87"/>
    <w:rsid w:val="00CA46F9"/>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808"/>
    <w:rsid w:val="00CD0B4A"/>
    <w:rsid w:val="00CD0BAF"/>
    <w:rsid w:val="00CD10EC"/>
    <w:rsid w:val="00CD3A22"/>
    <w:rsid w:val="00CD3E8B"/>
    <w:rsid w:val="00CD3F4F"/>
    <w:rsid w:val="00CD40C4"/>
    <w:rsid w:val="00CD4DF5"/>
    <w:rsid w:val="00CD4F31"/>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6979"/>
    <w:rsid w:val="00CF75A6"/>
    <w:rsid w:val="00D00AF5"/>
    <w:rsid w:val="00D0129A"/>
    <w:rsid w:val="00D02068"/>
    <w:rsid w:val="00D021FC"/>
    <w:rsid w:val="00D02B84"/>
    <w:rsid w:val="00D03656"/>
    <w:rsid w:val="00D03833"/>
    <w:rsid w:val="00D03E56"/>
    <w:rsid w:val="00D05012"/>
    <w:rsid w:val="00D05C2B"/>
    <w:rsid w:val="00D0629A"/>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1DB"/>
    <w:rsid w:val="00D27679"/>
    <w:rsid w:val="00D27B74"/>
    <w:rsid w:val="00D27EF5"/>
    <w:rsid w:val="00D31598"/>
    <w:rsid w:val="00D32C72"/>
    <w:rsid w:val="00D330D0"/>
    <w:rsid w:val="00D33264"/>
    <w:rsid w:val="00D34848"/>
    <w:rsid w:val="00D360E8"/>
    <w:rsid w:val="00D3692E"/>
    <w:rsid w:val="00D40AFE"/>
    <w:rsid w:val="00D40ED6"/>
    <w:rsid w:val="00D40FE4"/>
    <w:rsid w:val="00D42716"/>
    <w:rsid w:val="00D44E89"/>
    <w:rsid w:val="00D45888"/>
    <w:rsid w:val="00D45970"/>
    <w:rsid w:val="00D45B4E"/>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747"/>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3720"/>
    <w:rsid w:val="00DA456A"/>
    <w:rsid w:val="00DA4861"/>
    <w:rsid w:val="00DA6158"/>
    <w:rsid w:val="00DA6A64"/>
    <w:rsid w:val="00DA6D89"/>
    <w:rsid w:val="00DB098F"/>
    <w:rsid w:val="00DB134A"/>
    <w:rsid w:val="00DB14CC"/>
    <w:rsid w:val="00DB154F"/>
    <w:rsid w:val="00DB2D21"/>
    <w:rsid w:val="00DB34C7"/>
    <w:rsid w:val="00DB60E4"/>
    <w:rsid w:val="00DB708C"/>
    <w:rsid w:val="00DC05EC"/>
    <w:rsid w:val="00DC0D67"/>
    <w:rsid w:val="00DC1042"/>
    <w:rsid w:val="00DC1868"/>
    <w:rsid w:val="00DC2596"/>
    <w:rsid w:val="00DC3032"/>
    <w:rsid w:val="00DC36E0"/>
    <w:rsid w:val="00DC5456"/>
    <w:rsid w:val="00DC55AE"/>
    <w:rsid w:val="00DC62C5"/>
    <w:rsid w:val="00DD02EC"/>
    <w:rsid w:val="00DD0AD0"/>
    <w:rsid w:val="00DD13F8"/>
    <w:rsid w:val="00DD1AD1"/>
    <w:rsid w:val="00DD233E"/>
    <w:rsid w:val="00DD2841"/>
    <w:rsid w:val="00DD2F31"/>
    <w:rsid w:val="00DD3208"/>
    <w:rsid w:val="00DD3248"/>
    <w:rsid w:val="00DD3650"/>
    <w:rsid w:val="00DD5B0C"/>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06F1"/>
    <w:rsid w:val="00DF1AF8"/>
    <w:rsid w:val="00DF1F97"/>
    <w:rsid w:val="00DF208C"/>
    <w:rsid w:val="00DF237D"/>
    <w:rsid w:val="00DF2389"/>
    <w:rsid w:val="00DF260A"/>
    <w:rsid w:val="00DF3A76"/>
    <w:rsid w:val="00DF3C7B"/>
    <w:rsid w:val="00DF4BF0"/>
    <w:rsid w:val="00DF76C7"/>
    <w:rsid w:val="00DF7DFF"/>
    <w:rsid w:val="00DF7EAB"/>
    <w:rsid w:val="00E012D5"/>
    <w:rsid w:val="00E015A1"/>
    <w:rsid w:val="00E016D7"/>
    <w:rsid w:val="00E01E85"/>
    <w:rsid w:val="00E03336"/>
    <w:rsid w:val="00E03A36"/>
    <w:rsid w:val="00E04178"/>
    <w:rsid w:val="00E045E8"/>
    <w:rsid w:val="00E046E7"/>
    <w:rsid w:val="00E05608"/>
    <w:rsid w:val="00E05C4C"/>
    <w:rsid w:val="00E05D7A"/>
    <w:rsid w:val="00E06CA9"/>
    <w:rsid w:val="00E06F34"/>
    <w:rsid w:val="00E07FCD"/>
    <w:rsid w:val="00E11FCC"/>
    <w:rsid w:val="00E13D97"/>
    <w:rsid w:val="00E13D9F"/>
    <w:rsid w:val="00E15484"/>
    <w:rsid w:val="00E1552E"/>
    <w:rsid w:val="00E157BF"/>
    <w:rsid w:val="00E167C1"/>
    <w:rsid w:val="00E216DE"/>
    <w:rsid w:val="00E21D51"/>
    <w:rsid w:val="00E22142"/>
    <w:rsid w:val="00E227A3"/>
    <w:rsid w:val="00E22BC5"/>
    <w:rsid w:val="00E23180"/>
    <w:rsid w:val="00E23D6D"/>
    <w:rsid w:val="00E24C89"/>
    <w:rsid w:val="00E25CEE"/>
    <w:rsid w:val="00E2632E"/>
    <w:rsid w:val="00E26579"/>
    <w:rsid w:val="00E26777"/>
    <w:rsid w:val="00E3058C"/>
    <w:rsid w:val="00E30739"/>
    <w:rsid w:val="00E313DC"/>
    <w:rsid w:val="00E3152B"/>
    <w:rsid w:val="00E32A02"/>
    <w:rsid w:val="00E32A85"/>
    <w:rsid w:val="00E32EBE"/>
    <w:rsid w:val="00E3491B"/>
    <w:rsid w:val="00E35164"/>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DF5"/>
    <w:rsid w:val="00E86F51"/>
    <w:rsid w:val="00E87E93"/>
    <w:rsid w:val="00E87F9C"/>
    <w:rsid w:val="00E911A8"/>
    <w:rsid w:val="00E91AD5"/>
    <w:rsid w:val="00E93252"/>
    <w:rsid w:val="00E95320"/>
    <w:rsid w:val="00E9538C"/>
    <w:rsid w:val="00E97B0C"/>
    <w:rsid w:val="00E97C1A"/>
    <w:rsid w:val="00EA063F"/>
    <w:rsid w:val="00EA08D7"/>
    <w:rsid w:val="00EA2217"/>
    <w:rsid w:val="00EA2767"/>
    <w:rsid w:val="00EA4BD9"/>
    <w:rsid w:val="00EA56B7"/>
    <w:rsid w:val="00EA5D39"/>
    <w:rsid w:val="00EA6070"/>
    <w:rsid w:val="00EA768F"/>
    <w:rsid w:val="00EA7C4F"/>
    <w:rsid w:val="00EB1143"/>
    <w:rsid w:val="00EB41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5743"/>
    <w:rsid w:val="00EE6692"/>
    <w:rsid w:val="00EE712C"/>
    <w:rsid w:val="00EE7861"/>
    <w:rsid w:val="00EF1390"/>
    <w:rsid w:val="00EF1EF2"/>
    <w:rsid w:val="00EF205B"/>
    <w:rsid w:val="00EF2926"/>
    <w:rsid w:val="00EF3F43"/>
    <w:rsid w:val="00EF58D9"/>
    <w:rsid w:val="00EF5CEE"/>
    <w:rsid w:val="00EF65D5"/>
    <w:rsid w:val="00EF69D6"/>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2C7A"/>
    <w:rsid w:val="00F12F80"/>
    <w:rsid w:val="00F12FCD"/>
    <w:rsid w:val="00F1323F"/>
    <w:rsid w:val="00F14FC9"/>
    <w:rsid w:val="00F161E6"/>
    <w:rsid w:val="00F16358"/>
    <w:rsid w:val="00F167F2"/>
    <w:rsid w:val="00F17771"/>
    <w:rsid w:val="00F20679"/>
    <w:rsid w:val="00F20956"/>
    <w:rsid w:val="00F20A17"/>
    <w:rsid w:val="00F20D5E"/>
    <w:rsid w:val="00F23819"/>
    <w:rsid w:val="00F23A7D"/>
    <w:rsid w:val="00F24621"/>
    <w:rsid w:val="00F24B7E"/>
    <w:rsid w:val="00F259E4"/>
    <w:rsid w:val="00F25B9F"/>
    <w:rsid w:val="00F25D2B"/>
    <w:rsid w:val="00F260D1"/>
    <w:rsid w:val="00F26F25"/>
    <w:rsid w:val="00F2783C"/>
    <w:rsid w:val="00F31145"/>
    <w:rsid w:val="00F31A21"/>
    <w:rsid w:val="00F32044"/>
    <w:rsid w:val="00F3303E"/>
    <w:rsid w:val="00F33253"/>
    <w:rsid w:val="00F35381"/>
    <w:rsid w:val="00F36186"/>
    <w:rsid w:val="00F367E9"/>
    <w:rsid w:val="00F3734B"/>
    <w:rsid w:val="00F3735C"/>
    <w:rsid w:val="00F42EEA"/>
    <w:rsid w:val="00F431AB"/>
    <w:rsid w:val="00F446B2"/>
    <w:rsid w:val="00F451DA"/>
    <w:rsid w:val="00F46660"/>
    <w:rsid w:val="00F47566"/>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51A"/>
    <w:rsid w:val="00F74655"/>
    <w:rsid w:val="00F75623"/>
    <w:rsid w:val="00F7631A"/>
    <w:rsid w:val="00F8062E"/>
    <w:rsid w:val="00F80801"/>
    <w:rsid w:val="00F810CE"/>
    <w:rsid w:val="00F8140F"/>
    <w:rsid w:val="00F82B31"/>
    <w:rsid w:val="00F83513"/>
    <w:rsid w:val="00F84762"/>
    <w:rsid w:val="00F84812"/>
    <w:rsid w:val="00F85996"/>
    <w:rsid w:val="00F85C3B"/>
    <w:rsid w:val="00F86867"/>
    <w:rsid w:val="00F8692A"/>
    <w:rsid w:val="00F86BE7"/>
    <w:rsid w:val="00F87BF8"/>
    <w:rsid w:val="00F9065F"/>
    <w:rsid w:val="00F909D7"/>
    <w:rsid w:val="00F90AC9"/>
    <w:rsid w:val="00F91684"/>
    <w:rsid w:val="00F92B92"/>
    <w:rsid w:val="00F9423C"/>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7AA"/>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755"/>
    <w:rsid w:val="00FC77CD"/>
    <w:rsid w:val="00FD0083"/>
    <w:rsid w:val="00FD23FC"/>
    <w:rsid w:val="00FD275F"/>
    <w:rsid w:val="00FD2B73"/>
    <w:rsid w:val="00FD4524"/>
    <w:rsid w:val="00FD5B41"/>
    <w:rsid w:val="00FD5DA9"/>
    <w:rsid w:val="00FD5F29"/>
    <w:rsid w:val="00FD6025"/>
    <w:rsid w:val="00FD6A38"/>
    <w:rsid w:val="00FD6A82"/>
    <w:rsid w:val="00FD70E7"/>
    <w:rsid w:val="00FD79C4"/>
    <w:rsid w:val="00FD7DA7"/>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2BA53FD"/>
    <w:rsid w:val="047F3B78"/>
    <w:rsid w:val="08565A78"/>
    <w:rsid w:val="09EB27C2"/>
    <w:rsid w:val="0BC51AD4"/>
    <w:rsid w:val="0D4E7539"/>
    <w:rsid w:val="1017091D"/>
    <w:rsid w:val="108F314B"/>
    <w:rsid w:val="1120197B"/>
    <w:rsid w:val="1348277B"/>
    <w:rsid w:val="14292877"/>
    <w:rsid w:val="153C2877"/>
    <w:rsid w:val="15F60A9C"/>
    <w:rsid w:val="18655174"/>
    <w:rsid w:val="19514BC5"/>
    <w:rsid w:val="1B6B5BF6"/>
    <w:rsid w:val="1C354CD5"/>
    <w:rsid w:val="1D5334ED"/>
    <w:rsid w:val="204A776F"/>
    <w:rsid w:val="22054D54"/>
    <w:rsid w:val="26856031"/>
    <w:rsid w:val="27CE56EE"/>
    <w:rsid w:val="28ED0CB7"/>
    <w:rsid w:val="29E65D48"/>
    <w:rsid w:val="2A4C486F"/>
    <w:rsid w:val="2B25520B"/>
    <w:rsid w:val="2D373EBE"/>
    <w:rsid w:val="2E65748C"/>
    <w:rsid w:val="316F1E85"/>
    <w:rsid w:val="32387FA6"/>
    <w:rsid w:val="338A02B4"/>
    <w:rsid w:val="35025CA5"/>
    <w:rsid w:val="35644FAE"/>
    <w:rsid w:val="37C804CC"/>
    <w:rsid w:val="39B07421"/>
    <w:rsid w:val="3B8322E7"/>
    <w:rsid w:val="3C05135B"/>
    <w:rsid w:val="3D570C83"/>
    <w:rsid w:val="3FFC342E"/>
    <w:rsid w:val="425E7188"/>
    <w:rsid w:val="43CF687C"/>
    <w:rsid w:val="493733CC"/>
    <w:rsid w:val="49A54E80"/>
    <w:rsid w:val="4A5529AE"/>
    <w:rsid w:val="4B92607D"/>
    <w:rsid w:val="4C051DF4"/>
    <w:rsid w:val="4ECF78FA"/>
    <w:rsid w:val="583A00C6"/>
    <w:rsid w:val="5BC7452F"/>
    <w:rsid w:val="5D050EE0"/>
    <w:rsid w:val="5E4F7392"/>
    <w:rsid w:val="60472C7C"/>
    <w:rsid w:val="619154F2"/>
    <w:rsid w:val="62FB309E"/>
    <w:rsid w:val="6520005E"/>
    <w:rsid w:val="668D226A"/>
    <w:rsid w:val="676561FF"/>
    <w:rsid w:val="68561905"/>
    <w:rsid w:val="68813EA5"/>
    <w:rsid w:val="690547F9"/>
    <w:rsid w:val="6A6862DC"/>
    <w:rsid w:val="6C5B06AD"/>
    <w:rsid w:val="6D9A7A10"/>
    <w:rsid w:val="746F51D0"/>
    <w:rsid w:val="7616566A"/>
    <w:rsid w:val="78CB55B8"/>
    <w:rsid w:val="7D623EA9"/>
    <w:rsid w:val="7DF12884"/>
    <w:rsid w:val="7E2770D2"/>
    <w:rsid w:val="7E5D011B"/>
    <w:rsid w:val="7E811B72"/>
    <w:rsid w:val="7F562CE3"/>
    <w:rsid w:val="7FE11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65"/>
    <w:qFormat/>
    <w:uiPriority w:val="0"/>
    <w:pPr>
      <w:keepNext/>
      <w:jc w:val="center"/>
      <w:outlineLvl w:val="0"/>
    </w:pPr>
    <w:rPr>
      <w:rFonts w:ascii="楷体_GB2312" w:eastAsia="楷体_GB2312"/>
      <w:sz w:val="28"/>
      <w:szCs w:val="28"/>
    </w:rPr>
  </w:style>
  <w:style w:type="paragraph" w:styleId="3">
    <w:name w:val="heading 2"/>
    <w:basedOn w:val="1"/>
    <w:next w:val="4"/>
    <w:link w:val="77"/>
    <w:qFormat/>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4"/>
    <w:link w:val="54"/>
    <w:qFormat/>
    <w:uiPriority w:val="0"/>
    <w:pPr>
      <w:keepNext/>
      <w:keepLines/>
      <w:spacing w:before="260" w:after="260" w:line="416" w:lineRule="auto"/>
      <w:outlineLvl w:val="2"/>
    </w:pPr>
    <w:rPr>
      <w:b/>
      <w:bCs/>
      <w:sz w:val="32"/>
      <w:szCs w:val="32"/>
    </w:rPr>
  </w:style>
  <w:style w:type="paragraph" w:styleId="6">
    <w:name w:val="heading 4"/>
    <w:basedOn w:val="1"/>
    <w:next w:val="4"/>
    <w:link w:val="7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72"/>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67"/>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8"/>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7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tabs>
        <w:tab w:val="left" w:pos="907"/>
      </w:tab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1"/>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link w:val="113"/>
    <w:qFormat/>
    <w:uiPriority w:val="99"/>
    <w:pPr>
      <w:jc w:val="left"/>
    </w:pPr>
  </w:style>
  <w:style w:type="paragraph" w:styleId="16">
    <w:name w:val="Body Text 3"/>
    <w:basedOn w:val="1"/>
    <w:link w:val="55"/>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qFormat/>
    <w:uiPriority w:val="0"/>
    <w:rPr>
      <w:rFonts w:ascii="宋体" w:hAnsi="Courier New" w:cs="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53"/>
    <w:qFormat/>
    <w:uiPriority w:val="0"/>
    <w:pPr>
      <w:adjustRightInd w:val="0"/>
      <w:spacing w:line="360" w:lineRule="atLeast"/>
      <w:textAlignment w:val="baseline"/>
    </w:pPr>
    <w:rPr>
      <w:rFonts w:ascii="Courier New" w:hAnsi="Courier New"/>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Title"/>
    <w:basedOn w:val="1"/>
    <w:next w:val="1"/>
    <w:link w:val="70"/>
    <w:qFormat/>
    <w:uiPriority w:val="0"/>
    <w:pPr>
      <w:spacing w:before="240" w:after="60"/>
      <w:jc w:val="center"/>
      <w:outlineLvl w:val="0"/>
    </w:pPr>
    <w:rPr>
      <w:rFonts w:ascii="Cambria" w:hAnsi="Cambria"/>
      <w:b/>
      <w:bCs/>
      <w:sz w:val="32"/>
      <w:szCs w:val="32"/>
    </w:rPr>
  </w:style>
  <w:style w:type="paragraph" w:styleId="42">
    <w:name w:val="annotation subject"/>
    <w:basedOn w:val="15"/>
    <w:next w:val="15"/>
    <w:semiHidden/>
    <w:qFormat/>
    <w:uiPriority w:val="0"/>
    <w:rPr>
      <w:b/>
      <w:bCs/>
    </w:rPr>
  </w:style>
  <w:style w:type="paragraph" w:styleId="43">
    <w:name w:val="Body Text First Indent"/>
    <w:basedOn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semiHidden/>
    <w:qFormat/>
    <w:uiPriority w:val="0"/>
    <w:rPr>
      <w:sz w:val="21"/>
      <w:szCs w:val="21"/>
    </w:rPr>
  </w:style>
  <w:style w:type="character" w:customStyle="1" w:styleId="53">
    <w:name w:val="HTML 预设格式 Char"/>
    <w:link w:val="38"/>
    <w:qFormat/>
    <w:uiPriority w:val="0"/>
    <w:rPr>
      <w:rFonts w:ascii="Courier New" w:hAnsi="Courier New"/>
    </w:rPr>
  </w:style>
  <w:style w:type="character" w:customStyle="1" w:styleId="54">
    <w:name w:val="标题 3 Char"/>
    <w:link w:val="5"/>
    <w:qFormat/>
    <w:uiPriority w:val="0"/>
    <w:rPr>
      <w:b/>
      <w:bCs/>
      <w:kern w:val="2"/>
      <w:sz w:val="32"/>
      <w:szCs w:val="32"/>
    </w:rPr>
  </w:style>
  <w:style w:type="character" w:customStyle="1" w:styleId="55">
    <w:name w:val="正文文本 3 Char"/>
    <w:link w:val="16"/>
    <w:qFormat/>
    <w:uiPriority w:val="0"/>
    <w:rPr>
      <w:rFonts w:ascii="仿宋_GB2312" w:hAnsi="Arial" w:eastAsia="仿宋_GB2312"/>
      <w:kern w:val="2"/>
      <w:sz w:val="32"/>
      <w:szCs w:val="32"/>
    </w:rPr>
  </w:style>
  <w:style w:type="character" w:customStyle="1" w:styleId="56">
    <w:name w:val="列出段落 Char"/>
    <w:link w:val="57"/>
    <w:qFormat/>
    <w:locked/>
    <w:uiPriority w:val="0"/>
    <w:rPr>
      <w:rFonts w:ascii="Calibri" w:hAnsi="Calibri"/>
      <w:sz w:val="24"/>
      <w:szCs w:val="24"/>
      <w:lang w:eastAsia="en-US" w:bidi="en-US"/>
    </w:rPr>
  </w:style>
  <w:style w:type="paragraph" w:customStyle="1" w:styleId="57">
    <w:name w:val="列出段落1"/>
    <w:basedOn w:val="1"/>
    <w:link w:val="56"/>
    <w:qFormat/>
    <w:uiPriority w:val="0"/>
    <w:pPr>
      <w:widowControl/>
      <w:ind w:left="720"/>
      <w:contextualSpacing/>
      <w:jc w:val="left"/>
    </w:pPr>
    <w:rPr>
      <w:kern w:val="0"/>
      <w:sz w:val="24"/>
      <w:szCs w:val="24"/>
      <w:lang w:eastAsia="en-US" w:bidi="en-US"/>
    </w:rPr>
  </w:style>
  <w:style w:type="character" w:customStyle="1" w:styleId="58">
    <w:name w:val="标题 9 Char"/>
    <w:link w:val="11"/>
    <w:qFormat/>
    <w:uiPriority w:val="0"/>
    <w:rPr>
      <w:rFonts w:ascii="Arial" w:hAnsi="Arial" w:eastAsia="黑体"/>
      <w:kern w:val="2"/>
      <w:sz w:val="21"/>
      <w:szCs w:val="21"/>
    </w:rPr>
  </w:style>
  <w:style w:type="character" w:customStyle="1" w:styleId="59">
    <w:name w:val="样式 (符号) 宋体 小四"/>
    <w:qFormat/>
    <w:uiPriority w:val="0"/>
    <w:rPr>
      <w:rFonts w:eastAsia="宋体"/>
      <w:kern w:val="0"/>
      <w:sz w:val="24"/>
    </w:rPr>
  </w:style>
  <w:style w:type="character" w:customStyle="1" w:styleId="60">
    <w:name w:val="HTML 预设格式 Char1"/>
    <w:qFormat/>
    <w:uiPriority w:val="0"/>
    <w:rPr>
      <w:rFonts w:ascii="Courier New" w:hAnsi="Courier New" w:cs="Courier New"/>
      <w:kern w:val="2"/>
    </w:rPr>
  </w:style>
  <w:style w:type="character" w:customStyle="1" w:styleId="61">
    <w:name w:val="font5 Char"/>
    <w:qFormat/>
    <w:uiPriority w:val="0"/>
    <w:rPr>
      <w:rFonts w:ascii="宋体" w:hAnsi="宋体" w:eastAsia="宋体"/>
      <w:sz w:val="28"/>
      <w:szCs w:val="28"/>
      <w:lang w:val="en-US" w:eastAsia="zh-CN" w:bidi="ar-SA"/>
    </w:rPr>
  </w:style>
  <w:style w:type="character" w:customStyle="1" w:styleId="62">
    <w:name w:val="正文缩进2格 Char Char"/>
    <w:qFormat/>
    <w:locked/>
    <w:uiPriority w:val="99"/>
    <w:rPr>
      <w:rFonts w:ascii="仿宋_GB2312" w:hAnsi="宋体" w:eastAsia="仿宋_GB2312"/>
      <w:kern w:val="2"/>
      <w:sz w:val="28"/>
    </w:rPr>
  </w:style>
  <w:style w:type="character" w:customStyle="1" w:styleId="63">
    <w:name w:val="样式2 Char"/>
    <w:link w:val="64"/>
    <w:qFormat/>
    <w:uiPriority w:val="0"/>
    <w:rPr>
      <w:rFonts w:ascii="宋体" w:hAnsi="宋体" w:eastAsia="宋体"/>
      <w:b/>
      <w:kern w:val="2"/>
      <w:sz w:val="24"/>
      <w:szCs w:val="24"/>
    </w:rPr>
  </w:style>
  <w:style w:type="paragraph" w:customStyle="1" w:styleId="64">
    <w:name w:val="样式2"/>
    <w:basedOn w:val="16"/>
    <w:link w:val="63"/>
    <w:qFormat/>
    <w:uiPriority w:val="0"/>
    <w:rPr>
      <w:rFonts w:ascii="宋体" w:hAnsi="宋体" w:eastAsia="宋体"/>
      <w:b/>
      <w:sz w:val="24"/>
      <w:szCs w:val="24"/>
    </w:rPr>
  </w:style>
  <w:style w:type="character" w:customStyle="1" w:styleId="65">
    <w:name w:val="标题 1 Char"/>
    <w:link w:val="2"/>
    <w:qFormat/>
    <w:uiPriority w:val="0"/>
    <w:rPr>
      <w:rFonts w:ascii="楷体_GB2312" w:eastAsia="楷体_GB2312"/>
      <w:kern w:val="2"/>
      <w:sz w:val="28"/>
      <w:szCs w:val="28"/>
    </w:rPr>
  </w:style>
  <w:style w:type="character" w:customStyle="1" w:styleId="66">
    <w:name w:val="页脚 Char"/>
    <w:link w:val="27"/>
    <w:qFormat/>
    <w:uiPriority w:val="99"/>
    <w:rPr>
      <w:kern w:val="2"/>
      <w:sz w:val="18"/>
      <w:szCs w:val="18"/>
    </w:rPr>
  </w:style>
  <w:style w:type="character" w:customStyle="1" w:styleId="67">
    <w:name w:val="标题 6 Char"/>
    <w:link w:val="8"/>
    <w:qFormat/>
    <w:uiPriority w:val="0"/>
    <w:rPr>
      <w:rFonts w:ascii="Arial" w:hAnsi="Arial" w:eastAsia="黑体"/>
      <w:b/>
      <w:bCs/>
      <w:kern w:val="2"/>
      <w:sz w:val="24"/>
      <w:szCs w:val="24"/>
    </w:rPr>
  </w:style>
  <w:style w:type="character" w:customStyle="1" w:styleId="68">
    <w:name w:val="正文缩进2格 Char"/>
    <w:link w:val="69"/>
    <w:qFormat/>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标题 Char"/>
    <w:link w:val="41"/>
    <w:qFormat/>
    <w:uiPriority w:val="0"/>
    <w:rPr>
      <w:rFonts w:ascii="Cambria" w:hAnsi="Cambria" w:cs="Times New Roman"/>
      <w:b/>
      <w:bCs/>
      <w:kern w:val="2"/>
      <w:sz w:val="32"/>
      <w:szCs w:val="32"/>
    </w:rPr>
  </w:style>
  <w:style w:type="character" w:customStyle="1" w:styleId="71">
    <w:name w:val="正文缩进 Char"/>
    <w:link w:val="4"/>
    <w:qFormat/>
    <w:uiPriority w:val="0"/>
    <w:rPr>
      <w:kern w:val="2"/>
      <w:sz w:val="21"/>
      <w:szCs w:val="21"/>
    </w:rPr>
  </w:style>
  <w:style w:type="character" w:customStyle="1" w:styleId="72">
    <w:name w:val="标题 5 Char"/>
    <w:link w:val="7"/>
    <w:qFormat/>
    <w:uiPriority w:val="0"/>
    <w:rPr>
      <w:rFonts w:ascii="宋体"/>
      <w:color w:val="000000"/>
      <w:sz w:val="28"/>
      <w:szCs w:val="28"/>
    </w:rPr>
  </w:style>
  <w:style w:type="character" w:customStyle="1" w:styleId="73">
    <w:name w:val="二级目录 Char"/>
    <w:link w:val="74"/>
    <w:qFormat/>
    <w:uiPriority w:val="0"/>
    <w:rPr>
      <w:b/>
      <w:kern w:val="2"/>
      <w:sz w:val="30"/>
      <w:szCs w:val="28"/>
    </w:rPr>
  </w:style>
  <w:style w:type="paragraph" w:customStyle="1" w:styleId="74">
    <w:name w:val="二级目录"/>
    <w:next w:val="1"/>
    <w:link w:val="73"/>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5">
    <w:name w:val="标题 4 Char"/>
    <w:link w:val="6"/>
    <w:qFormat/>
    <w:uiPriority w:val="0"/>
    <w:rPr>
      <w:rFonts w:ascii="Arial" w:hAnsi="Arial" w:eastAsia="黑体" w:cs="Arial"/>
      <w:b/>
      <w:bCs/>
      <w:kern w:val="2"/>
      <w:sz w:val="28"/>
      <w:szCs w:val="28"/>
    </w:rPr>
  </w:style>
  <w:style w:type="character" w:customStyle="1" w:styleId="76">
    <w:name w:val="标题 8 Char"/>
    <w:link w:val="10"/>
    <w:qFormat/>
    <w:uiPriority w:val="0"/>
    <w:rPr>
      <w:rFonts w:ascii="Arial" w:hAnsi="Arial" w:eastAsia="黑体"/>
      <w:kern w:val="2"/>
      <w:sz w:val="24"/>
      <w:szCs w:val="24"/>
    </w:rPr>
  </w:style>
  <w:style w:type="character" w:customStyle="1" w:styleId="77">
    <w:name w:val="标题 2 Char"/>
    <w:link w:val="3"/>
    <w:qFormat/>
    <w:uiPriority w:val="0"/>
    <w:rPr>
      <w:rFonts w:ascii="Arial" w:hAnsi="Arial" w:eastAsia="幼圆" w:cs="Arial"/>
      <w:b/>
      <w:bCs/>
      <w:kern w:val="2"/>
      <w:sz w:val="44"/>
      <w:szCs w:val="44"/>
    </w:rPr>
  </w:style>
  <w:style w:type="character" w:customStyle="1" w:styleId="78">
    <w:name w:val="标题 7 Char"/>
    <w:link w:val="9"/>
    <w:qFormat/>
    <w:uiPriority w:val="0"/>
    <w:rPr>
      <w:b/>
      <w:bCs/>
      <w:kern w:val="2"/>
      <w:sz w:val="24"/>
      <w:szCs w:val="24"/>
    </w:rPr>
  </w:style>
  <w:style w:type="paragraph" w:customStyle="1" w:styleId="79">
    <w:name w:val="表中文字"/>
    <w:basedOn w:val="1"/>
    <w:next w:val="1"/>
    <w:qFormat/>
    <w:uiPriority w:val="0"/>
    <w:pPr>
      <w:widowControl/>
      <w:spacing w:line="320" w:lineRule="exact"/>
      <w:jc w:val="center"/>
    </w:pPr>
    <w:rPr>
      <w:color w:val="000000"/>
      <w:szCs w:val="20"/>
    </w:rPr>
  </w:style>
  <w:style w:type="paragraph" w:customStyle="1" w:styleId="80">
    <w:name w:val="Char"/>
    <w:basedOn w:val="1"/>
    <w:qFormat/>
    <w:uiPriority w:val="0"/>
    <w:pPr>
      <w:tabs>
        <w:tab w:val="left" w:pos="360"/>
      </w:tabs>
      <w:ind w:firstLine="200" w:firstLineChars="200"/>
    </w:pPr>
    <w:rPr>
      <w:sz w:val="28"/>
      <w:szCs w:val="3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3">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4">
    <w:name w:val="Char Char Char Char Char Char Char Char Char Char"/>
    <w:basedOn w:val="1"/>
    <w:qFormat/>
    <w:uiPriority w:val="0"/>
    <w:pPr>
      <w:adjustRightInd w:val="0"/>
      <w:spacing w:line="360" w:lineRule="auto"/>
    </w:pPr>
    <w:rPr>
      <w:kern w:val="0"/>
      <w:sz w:val="24"/>
      <w:szCs w:val="20"/>
    </w:rPr>
  </w:style>
  <w:style w:type="paragraph" w:customStyle="1" w:styleId="8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6">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7">
    <w:name w:val="纯文本1"/>
    <w:basedOn w:val="1"/>
    <w:qFormat/>
    <w:uiPriority w:val="0"/>
    <w:rPr>
      <w:rFonts w:ascii="宋体" w:hAnsi="Courier New"/>
      <w:sz w:val="28"/>
      <w:szCs w:val="24"/>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0">
    <w:name w:val="Body Text(ch)"/>
    <w:basedOn w:val="1"/>
    <w:next w:val="17"/>
    <w:qFormat/>
    <w:uiPriority w:val="0"/>
    <w:pPr>
      <w:spacing w:after="120"/>
    </w:pPr>
    <w:rPr>
      <w:rFonts w:ascii="宋体" w:hAnsi="Arial"/>
      <w:bCs/>
      <w:iCs/>
      <w:szCs w:val="24"/>
    </w:rPr>
  </w:style>
  <w:style w:type="paragraph" w:customStyle="1" w:styleId="9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3">
    <w:name w:val="table_1stline"/>
    <w:basedOn w:val="1"/>
    <w:qFormat/>
    <w:uiPriority w:val="0"/>
    <w:pPr>
      <w:widowControl/>
      <w:spacing w:before="120"/>
      <w:jc w:val="left"/>
    </w:pPr>
    <w:rPr>
      <w:bCs/>
      <w:kern w:val="0"/>
      <w:sz w:val="20"/>
      <w:szCs w:val="20"/>
      <w:lang w:val="de-DE" w:eastAsia="de-DE"/>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5">
    <w:name w:val="4"/>
    <w:basedOn w:val="1"/>
    <w:next w:val="33"/>
    <w:qFormat/>
    <w:uiPriority w:val="0"/>
    <w:pPr>
      <w:spacing w:line="360" w:lineRule="auto"/>
      <w:ind w:firstLine="420"/>
    </w:pPr>
    <w:rPr>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8">
    <w:name w:val="table_lines"/>
    <w:basedOn w:val="1"/>
    <w:qFormat/>
    <w:uiPriority w:val="0"/>
    <w:pPr>
      <w:widowControl/>
      <w:jc w:val="left"/>
    </w:pPr>
    <w:rPr>
      <w:kern w:val="0"/>
      <w:sz w:val="20"/>
      <w:szCs w:val="20"/>
      <w:lang w:val="de-DE" w:eastAsia="de-DE"/>
    </w:rPr>
  </w:style>
  <w:style w:type="paragraph" w:customStyle="1" w:styleId="99">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1">
    <w:name w:val="TOC 标题1"/>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02">
    <w:name w:val="Char Char Char Char"/>
    <w:basedOn w:val="14"/>
    <w:qFormat/>
    <w:uiPriority w:val="0"/>
    <w:pPr>
      <w:adjustRightInd w:val="0"/>
      <w:snapToGrid w:val="0"/>
      <w:spacing w:line="360" w:lineRule="auto"/>
    </w:pPr>
    <w:rPr>
      <w:rFonts w:ascii="Tahoma" w:hAnsi="Tahoma"/>
      <w:sz w:val="24"/>
      <w:szCs w:val="24"/>
    </w:rPr>
  </w:style>
  <w:style w:type="paragraph" w:customStyle="1" w:styleId="10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5">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0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Char1"/>
    <w:basedOn w:val="14"/>
    <w:qFormat/>
    <w:uiPriority w:val="0"/>
    <w:rPr>
      <w:rFonts w:ascii="Tahoma" w:hAnsi="Tahoma"/>
      <w:sz w:val="24"/>
      <w:szCs w:val="24"/>
    </w:rPr>
  </w:style>
  <w:style w:type="paragraph" w:styleId="108">
    <w:name w:val="List Paragraph"/>
    <w:basedOn w:val="1"/>
    <w:qFormat/>
    <w:uiPriority w:val="34"/>
    <w:pPr>
      <w:widowControl/>
      <w:ind w:left="720"/>
      <w:contextualSpacing/>
      <w:jc w:val="left"/>
    </w:pPr>
    <w:rPr>
      <w:kern w:val="0"/>
      <w:sz w:val="24"/>
      <w:szCs w:val="24"/>
      <w:lang w:eastAsia="en-US" w:bidi="en-US"/>
    </w:rPr>
  </w:style>
  <w:style w:type="paragraph" w:customStyle="1" w:styleId="109">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从CC出差"/>
    <w:basedOn w:val="64"/>
    <w:qFormat/>
    <w:uiPriority w:val="0"/>
  </w:style>
  <w:style w:type="paragraph" w:customStyle="1" w:styleId="112">
    <w:name w:val="样式 标题 2 + 黑色 行距: 1.5 倍行距"/>
    <w:basedOn w:val="3"/>
    <w:qFormat/>
    <w:uiPriority w:val="99"/>
    <w:pPr>
      <w:spacing w:before="0" w:after="0" w:line="560" w:lineRule="exact"/>
    </w:pPr>
    <w:rPr>
      <w:rFonts w:ascii="宋体" w:hAnsi="宋体" w:eastAsia="宋体" w:cs="仿宋_GB2312"/>
      <w:color w:val="000000"/>
    </w:rPr>
  </w:style>
  <w:style w:type="character" w:customStyle="1" w:styleId="113">
    <w:name w:val="批注文字 Char"/>
    <w:link w:val="15"/>
    <w:qFormat/>
    <w:uiPriority w:val="99"/>
    <w:rPr>
      <w:kern w:val="2"/>
      <w:sz w:val="21"/>
      <w:szCs w:val="21"/>
    </w:rPr>
  </w:style>
  <w:style w:type="paragraph" w:customStyle="1" w:styleId="114">
    <w:name w:val="修订1"/>
    <w:hidden/>
    <w:semiHidden/>
    <w:qFormat/>
    <w:uiPriority w:val="99"/>
    <w:rPr>
      <w:rFonts w:ascii="Calibri" w:hAnsi="Calibri" w:eastAsia="宋体" w:cs="Times New Roman"/>
      <w:kern w:val="2"/>
      <w:sz w:val="21"/>
      <w:szCs w:val="21"/>
      <w:lang w:val="en-US" w:eastAsia="zh-CN" w:bidi="ar-SA"/>
    </w:rPr>
  </w:style>
  <w:style w:type="paragraph" w:customStyle="1" w:styleId="115">
    <w:name w:val="Coms Alinea"/>
    <w:qFormat/>
    <w:uiPriority w:val="0"/>
    <w:pPr>
      <w:widowControl w:val="0"/>
    </w:pPr>
    <w:rPr>
      <w:rFonts w:ascii="Arial" w:hAnsi="Arial" w:eastAsia="宋体" w:cs="Arial"/>
      <w:lang w:val="en-US" w:eastAsia="zh-CN" w:bidi="ar-SA"/>
    </w:rPr>
  </w:style>
  <w:style w:type="paragraph" w:customStyle="1" w:styleId="116">
    <w:name w:val="纯文本2"/>
    <w:basedOn w:val="1"/>
    <w:qFormat/>
    <w:uiPriority w:val="0"/>
    <w:pPr>
      <w:adjustRightInd w:val="0"/>
    </w:pPr>
    <w:rPr>
      <w:rFonts w:ascii="宋体" w:hAnsi="Courier New" w:eastAsia="楷体_GB2312"/>
      <w:sz w:val="26"/>
      <w:szCs w:val="24"/>
    </w:rPr>
  </w:style>
  <w:style w:type="paragraph" w:customStyle="1" w:styleId="117">
    <w:name w:val="flName"/>
    <w:basedOn w:val="1"/>
    <w:qFormat/>
    <w:uiPriority w:val="0"/>
    <w:pPr>
      <w:adjustRightInd w:val="0"/>
      <w:spacing w:before="320" w:after="160" w:line="360" w:lineRule="atLeast"/>
      <w:jc w:val="center"/>
      <w:textAlignment w:val="baseline"/>
    </w:pPr>
    <w:rPr>
      <w:rFonts w:ascii="Arial" w:eastAsia="黑体"/>
      <w:sz w:val="32"/>
      <w:szCs w:val="22"/>
    </w:rPr>
  </w:style>
  <w:style w:type="paragraph" w:customStyle="1" w:styleId="118">
    <w:name w:val="Plain Text1"/>
    <w:basedOn w:val="1"/>
    <w:qFormat/>
    <w:uiPriority w:val="0"/>
    <w:rPr>
      <w:rFonts w:ascii="宋体" w:hAnsi="Courier New"/>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36D56-FBEE-4740-A6B8-44AFB1C51E5B}">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微软中国</Company>
  <Pages>33</Pages>
  <Words>2942</Words>
  <Characters>16776</Characters>
  <Lines>139</Lines>
  <Paragraphs>39</Paragraphs>
  <TotalTime>98</TotalTime>
  <ScaleCrop>false</ScaleCrop>
  <LinksUpToDate>false</LinksUpToDate>
  <CharactersWithSpaces>19679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2020-03-27T02:28:00Z</dcterms:created>
  <dc:creator>政府采购中心</dc:creator>
  <cp:lastModifiedBy>YLL</cp:lastModifiedBy>
  <cp:lastPrinted>2020-05-23T10:26:00Z</cp:lastPrinted>
  <dcterms:modified xsi:type="dcterms:W3CDTF">2020-05-28T03:17:08Z</dcterms:modified>
  <dc:title>江苏卫生信息系统业务软件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