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2"/>
        <w:spacing w:before="0" w:after="0"/>
        <w:ind w:firstLine="0"/>
        <w:rPr>
          <w:rFonts w:ascii="宋体" w:hAnsi="宋体"/>
        </w:rPr>
      </w:pPr>
    </w:p>
    <w:p>
      <w:pPr>
        <w:pStyle w:val="82"/>
        <w:spacing w:before="0" w:after="0"/>
        <w:ind w:firstLine="0"/>
        <w:rPr>
          <w:rFonts w:ascii="宋体" w:hAnsi="宋体"/>
        </w:rPr>
      </w:pPr>
    </w:p>
    <w:p>
      <w:pPr>
        <w:pStyle w:val="82"/>
        <w:spacing w:line="460" w:lineRule="exact"/>
        <w:ind w:firstLine="0"/>
        <w:jc w:val="center"/>
        <w:rPr>
          <w:rFonts w:ascii="宋体" w:hAnsi="宋体"/>
          <w:b/>
          <w:bCs/>
          <w:sz w:val="84"/>
        </w:rPr>
      </w:pPr>
      <w:r>
        <w:rPr>
          <w:rFonts w:hint="eastAsia" w:ascii="宋体" w:hAnsi="宋体"/>
          <w:b/>
          <w:bCs/>
          <w:sz w:val="84"/>
        </w:rPr>
        <w:t xml:space="preserve">   </w:t>
      </w:r>
    </w:p>
    <w:p>
      <w:pPr>
        <w:jc w:val="center"/>
        <w:rPr>
          <w:b/>
          <w:bCs/>
          <w:color w:val="000000"/>
          <w:sz w:val="52"/>
          <w:szCs w:val="52"/>
        </w:rPr>
      </w:pPr>
      <w:r>
        <w:rPr>
          <w:rFonts w:hint="eastAsia"/>
          <w:b/>
          <w:bCs/>
          <w:color w:val="000000"/>
          <w:sz w:val="52"/>
          <w:szCs w:val="52"/>
        </w:rPr>
        <w:t>南通农副产品物流有限公司</w:t>
      </w:r>
    </w:p>
    <w:p>
      <w:pPr>
        <w:pStyle w:val="82"/>
        <w:spacing w:before="100" w:beforeAutospacing="1" w:after="100" w:afterAutospacing="1" w:line="240" w:lineRule="auto"/>
        <w:ind w:firstLine="0"/>
        <w:jc w:val="center"/>
        <w:rPr>
          <w:rFonts w:ascii="Calibri" w:hAnsi="Calibri"/>
          <w:b/>
          <w:bCs/>
          <w:color w:val="000000"/>
          <w:spacing w:val="-20"/>
          <w:kern w:val="2"/>
          <w:sz w:val="52"/>
          <w:szCs w:val="52"/>
        </w:rPr>
      </w:pPr>
      <w:r>
        <w:rPr>
          <w:rFonts w:hint="eastAsia" w:ascii="Calibri" w:hAnsi="Calibri"/>
          <w:b/>
          <w:bCs/>
          <w:color w:val="000000"/>
          <w:spacing w:val="-20"/>
          <w:kern w:val="2"/>
          <w:sz w:val="52"/>
          <w:szCs w:val="52"/>
        </w:rPr>
        <w:t>消防系统专业维保服务项目</w:t>
      </w:r>
    </w:p>
    <w:p>
      <w:pPr>
        <w:pStyle w:val="82"/>
        <w:spacing w:before="100" w:beforeAutospacing="1" w:after="100" w:afterAutospacing="1" w:line="240" w:lineRule="auto"/>
        <w:ind w:firstLine="0"/>
        <w:rPr>
          <w:rFonts w:ascii="Calibri" w:hAnsi="Calibri"/>
          <w:b/>
          <w:bCs/>
          <w:color w:val="000000"/>
          <w:spacing w:val="-20"/>
          <w:kern w:val="2"/>
          <w:sz w:val="52"/>
          <w:szCs w:val="52"/>
        </w:rPr>
      </w:pPr>
    </w:p>
    <w:p>
      <w:pPr>
        <w:pStyle w:val="82"/>
        <w:spacing w:before="100" w:beforeAutospacing="1" w:after="100" w:afterAutospacing="1" w:line="240" w:lineRule="auto"/>
        <w:ind w:firstLine="0"/>
        <w:jc w:val="center"/>
        <w:rPr>
          <w:rFonts w:ascii="宋体" w:hAnsi="宋体"/>
          <w:b/>
          <w:bCs/>
          <w:sz w:val="72"/>
          <w:szCs w:val="72"/>
        </w:rPr>
      </w:pPr>
    </w:p>
    <w:p>
      <w:pPr>
        <w:pStyle w:val="82"/>
        <w:spacing w:before="100" w:beforeAutospacing="1" w:after="100" w:afterAutospacing="1" w:line="240" w:lineRule="auto"/>
        <w:ind w:firstLine="0"/>
        <w:jc w:val="center"/>
        <w:rPr>
          <w:rFonts w:ascii="宋体" w:hAnsi="宋体"/>
          <w:b/>
          <w:bCs/>
          <w:sz w:val="72"/>
          <w:szCs w:val="72"/>
        </w:rPr>
      </w:pPr>
      <w:r>
        <w:rPr>
          <w:rFonts w:hint="eastAsia" w:ascii="宋体" w:hAnsi="宋体"/>
          <w:b/>
          <w:bCs/>
          <w:sz w:val="72"/>
          <w:szCs w:val="72"/>
        </w:rPr>
        <w:t>招　标　文　件</w:t>
      </w:r>
    </w:p>
    <w:p>
      <w:pPr>
        <w:pStyle w:val="82"/>
        <w:spacing w:line="460" w:lineRule="exact"/>
        <w:ind w:firstLine="0"/>
        <w:jc w:val="center"/>
        <w:rPr>
          <w:rFonts w:ascii="宋体" w:hAnsi="宋体"/>
          <w:b/>
          <w:bCs/>
          <w:sz w:val="52"/>
          <w:szCs w:val="52"/>
        </w:rPr>
      </w:pPr>
    </w:p>
    <w:p>
      <w:pPr>
        <w:pStyle w:val="82"/>
        <w:spacing w:line="460" w:lineRule="exact"/>
        <w:ind w:firstLine="0"/>
        <w:jc w:val="center"/>
        <w:rPr>
          <w:rFonts w:ascii="宋体" w:hAnsi="宋体"/>
          <w:b/>
          <w:bCs/>
          <w:sz w:val="52"/>
          <w:szCs w:val="52"/>
        </w:rPr>
      </w:pPr>
    </w:p>
    <w:p>
      <w:pPr>
        <w:pStyle w:val="82"/>
        <w:spacing w:line="460" w:lineRule="exact"/>
        <w:ind w:firstLine="0"/>
        <w:jc w:val="center"/>
        <w:rPr>
          <w:rFonts w:ascii="宋体" w:hAnsi="宋体"/>
          <w:b/>
          <w:bCs/>
          <w:sz w:val="52"/>
          <w:szCs w:val="52"/>
        </w:rPr>
      </w:pPr>
    </w:p>
    <w:p>
      <w:pPr>
        <w:pStyle w:val="82"/>
        <w:spacing w:before="0" w:after="0"/>
        <w:rPr>
          <w:rFonts w:ascii="宋体" w:hAnsi="宋体"/>
        </w:rPr>
      </w:pPr>
      <w:r>
        <w:rPr>
          <w:rFonts w:hint="eastAsia" w:ascii="宋体" w:hAnsi="宋体"/>
        </w:rPr>
        <w:t xml:space="preserve">                            </w:t>
      </w:r>
    </w:p>
    <w:p>
      <w:pPr>
        <w:pStyle w:val="82"/>
        <w:spacing w:before="0" w:after="0"/>
        <w:rPr>
          <w:rFonts w:ascii="宋体" w:hAnsi="宋体"/>
        </w:rPr>
      </w:pPr>
    </w:p>
    <w:p>
      <w:pPr>
        <w:pStyle w:val="82"/>
        <w:spacing w:before="0" w:after="0"/>
        <w:rPr>
          <w:rFonts w:ascii="宋体" w:hAnsi="宋体"/>
        </w:rPr>
      </w:pPr>
    </w:p>
    <w:p>
      <w:pPr>
        <w:pStyle w:val="82"/>
        <w:spacing w:before="0" w:after="0"/>
        <w:rPr>
          <w:rFonts w:ascii="宋体" w:hAnsi="宋体"/>
        </w:rPr>
      </w:pPr>
    </w:p>
    <w:p>
      <w:pPr>
        <w:pStyle w:val="82"/>
        <w:spacing w:before="0" w:after="0"/>
        <w:ind w:firstLine="426" w:firstLineChars="118"/>
        <w:contextualSpacing/>
        <w:rPr>
          <w:rFonts w:ascii="宋体" w:hAnsi="宋体"/>
          <w:b/>
          <w:bCs/>
          <w:sz w:val="36"/>
          <w:szCs w:val="36"/>
          <w:u w:val="single"/>
        </w:rPr>
      </w:pPr>
      <w:r>
        <w:rPr>
          <w:rFonts w:hint="eastAsia" w:ascii="宋体" w:hAnsi="宋体"/>
          <w:b/>
          <w:bCs/>
          <w:sz w:val="36"/>
          <w:szCs w:val="36"/>
        </w:rPr>
        <w:t xml:space="preserve">  采   购   人：</w:t>
      </w:r>
      <w:r>
        <w:rPr>
          <w:rFonts w:hint="eastAsia" w:ascii="宋体" w:hAnsi="宋体"/>
          <w:b/>
          <w:bCs/>
          <w:sz w:val="36"/>
          <w:szCs w:val="36"/>
          <w:u w:val="single"/>
        </w:rPr>
        <w:t>南通农副产品物流有限公司</w:t>
      </w:r>
    </w:p>
    <w:p>
      <w:pPr>
        <w:pStyle w:val="82"/>
        <w:spacing w:before="0" w:after="0"/>
        <w:ind w:firstLine="0"/>
        <w:contextualSpacing/>
        <w:rPr>
          <w:rFonts w:ascii="宋体" w:hAnsi="宋体"/>
          <w:b/>
          <w:bCs/>
          <w:sz w:val="36"/>
          <w:szCs w:val="36"/>
          <w:u w:val="single"/>
        </w:rPr>
      </w:pPr>
      <w:r>
        <w:rPr>
          <w:rFonts w:hint="eastAsia" w:ascii="宋体" w:hAnsi="宋体"/>
          <w:b/>
          <w:bCs/>
          <w:sz w:val="36"/>
          <w:szCs w:val="36"/>
        </w:rPr>
        <w:t>招标代理机构：</w:t>
      </w:r>
      <w:r>
        <w:rPr>
          <w:rFonts w:hint="eastAsia" w:ascii="宋体" w:hAnsi="宋体"/>
          <w:b/>
          <w:bCs/>
          <w:sz w:val="36"/>
          <w:szCs w:val="36"/>
          <w:u w:val="single"/>
        </w:rPr>
        <w:t>南通通城建设工程项目管理有限公司</w:t>
      </w:r>
    </w:p>
    <w:p>
      <w:pPr>
        <w:spacing w:line="360" w:lineRule="auto"/>
        <w:ind w:firstLine="426" w:firstLineChars="118"/>
        <w:contextualSpacing/>
        <w:outlineLvl w:val="0"/>
        <w:rPr>
          <w:rFonts w:ascii="宋体" w:hAnsi="宋体"/>
          <w:b/>
          <w:bCs/>
          <w:kern w:val="0"/>
          <w:sz w:val="36"/>
          <w:szCs w:val="36"/>
          <w:u w:val="single"/>
        </w:rPr>
      </w:pPr>
      <w:bookmarkStart w:id="0" w:name="_Toc120614210"/>
      <w:bookmarkStart w:id="1" w:name="_Toc16938516"/>
      <w:bookmarkStart w:id="2" w:name="_Toc479757206"/>
      <w:bookmarkStart w:id="3" w:name="_Toc523127445"/>
      <w:bookmarkStart w:id="4" w:name="_Toc20823272"/>
      <w:bookmarkStart w:id="5" w:name="_Toc513029200"/>
      <w:r>
        <w:rPr>
          <w:rFonts w:hint="eastAsia" w:ascii="宋体" w:hAnsi="宋体"/>
          <w:b/>
          <w:bCs/>
          <w:kern w:val="0"/>
          <w:sz w:val="36"/>
          <w:szCs w:val="36"/>
        </w:rPr>
        <w:t xml:space="preserve">  日        期：</w:t>
      </w:r>
      <w:r>
        <w:rPr>
          <w:rFonts w:hint="eastAsia" w:ascii="宋体" w:hAnsi="宋体"/>
          <w:b/>
          <w:bCs/>
          <w:kern w:val="0"/>
          <w:sz w:val="36"/>
          <w:szCs w:val="36"/>
          <w:u w:val="single"/>
        </w:rPr>
        <w:t xml:space="preserve"> 2020 年7月9日</w:t>
      </w:r>
    </w:p>
    <w:p>
      <w:pPr>
        <w:spacing w:line="480" w:lineRule="auto"/>
        <w:ind w:firstLine="480"/>
        <w:outlineLvl w:val="0"/>
        <w:rPr>
          <w:rFonts w:ascii="宋体" w:hAnsi="宋体"/>
          <w:sz w:val="36"/>
        </w:rPr>
      </w:pPr>
    </w:p>
    <w:p>
      <w:pPr>
        <w:pStyle w:val="102"/>
        <w:jc w:val="center"/>
        <w:rPr>
          <w:rFonts w:ascii="宋体" w:hAnsi="宋体"/>
          <w:color w:val="auto"/>
          <w:sz w:val="48"/>
          <w:szCs w:val="48"/>
          <w:lang w:val="zh-CN"/>
        </w:rPr>
      </w:pPr>
      <w:r>
        <w:rPr>
          <w:rFonts w:ascii="宋体" w:hAnsi="宋体"/>
          <w:color w:val="auto"/>
          <w:sz w:val="48"/>
          <w:szCs w:val="48"/>
          <w:lang w:val="zh-CN"/>
        </w:rPr>
        <w:t>总</w:t>
      </w:r>
      <w:r>
        <w:rPr>
          <w:rFonts w:hint="eastAsia" w:ascii="宋体" w:hAnsi="宋体"/>
          <w:color w:val="auto"/>
          <w:sz w:val="48"/>
          <w:szCs w:val="48"/>
          <w:lang w:val="zh-CN"/>
        </w:rPr>
        <w:t xml:space="preserve">  </w:t>
      </w:r>
      <w:r>
        <w:rPr>
          <w:rFonts w:ascii="宋体" w:hAnsi="宋体"/>
          <w:color w:val="auto"/>
          <w:sz w:val="48"/>
          <w:szCs w:val="48"/>
          <w:lang w:val="zh-CN"/>
        </w:rPr>
        <w:t>目</w:t>
      </w:r>
      <w:r>
        <w:rPr>
          <w:rFonts w:hint="eastAsia" w:ascii="宋体" w:hAnsi="宋体"/>
          <w:color w:val="auto"/>
          <w:sz w:val="48"/>
          <w:szCs w:val="48"/>
          <w:lang w:val="zh-CN"/>
        </w:rPr>
        <w:t xml:space="preserve">  </w:t>
      </w:r>
      <w:r>
        <w:rPr>
          <w:rFonts w:ascii="宋体" w:hAnsi="宋体"/>
          <w:color w:val="auto"/>
          <w:sz w:val="48"/>
          <w:szCs w:val="48"/>
          <w:lang w:val="zh-CN"/>
        </w:rPr>
        <w:t>录</w:t>
      </w:r>
    </w:p>
    <w:p>
      <w:pPr>
        <w:ind w:firstLine="480"/>
        <w:rPr>
          <w:rFonts w:ascii="宋体" w:hAnsi="宋体"/>
          <w:lang w:val="zh-CN"/>
        </w:rPr>
      </w:pPr>
    </w:p>
    <w:p>
      <w:pPr>
        <w:ind w:firstLine="480"/>
        <w:rPr>
          <w:rFonts w:ascii="宋体" w:hAnsi="宋体"/>
          <w:lang w:val="zh-CN"/>
        </w:rPr>
      </w:pPr>
    </w:p>
    <w:p>
      <w:pPr>
        <w:ind w:firstLine="480"/>
        <w:rPr>
          <w:rFonts w:ascii="宋体" w:hAnsi="宋体"/>
          <w:lang w:val="zh-CN"/>
        </w:rPr>
      </w:pPr>
    </w:p>
    <w:p>
      <w:pPr>
        <w:pStyle w:val="31"/>
        <w:ind w:firstLine="720"/>
        <w:rPr>
          <w:caps w:val="0"/>
          <w:sz w:val="28"/>
          <w:szCs w:val="22"/>
        </w:rPr>
      </w:pPr>
      <w:r>
        <w:rPr>
          <w:sz w:val="36"/>
        </w:rPr>
        <w:fldChar w:fldCharType="begin"/>
      </w:r>
      <w:r>
        <w:rPr>
          <w:sz w:val="36"/>
        </w:rPr>
        <w:instrText xml:space="preserve"> TOC \o "1-3" \h \z \u </w:instrText>
      </w:r>
      <w:r>
        <w:rPr>
          <w:sz w:val="36"/>
        </w:rPr>
        <w:fldChar w:fldCharType="separate"/>
      </w:r>
      <w:r>
        <w:fldChar w:fldCharType="begin"/>
      </w:r>
      <w:r>
        <w:instrText xml:space="preserve"> HYPERLINK \l "_Toc479962289" </w:instrText>
      </w:r>
      <w:r>
        <w:fldChar w:fldCharType="separate"/>
      </w:r>
      <w:r>
        <w:rPr>
          <w:rStyle w:val="52"/>
          <w:rFonts w:hint="eastAsia"/>
          <w:color w:val="auto"/>
          <w:sz w:val="36"/>
        </w:rPr>
        <w:t>第一章</w:t>
      </w:r>
      <w:r>
        <w:rPr>
          <w:rStyle w:val="52"/>
          <w:color w:val="auto"/>
          <w:sz w:val="36"/>
        </w:rPr>
        <w:t xml:space="preserve">  </w:t>
      </w:r>
      <w:r>
        <w:rPr>
          <w:rStyle w:val="52"/>
          <w:rFonts w:hint="eastAsia"/>
          <w:color w:val="auto"/>
          <w:sz w:val="36"/>
        </w:rPr>
        <w:t>招标公告</w:t>
      </w:r>
      <w:r>
        <w:rPr>
          <w:sz w:val="36"/>
        </w:rPr>
        <w:tab/>
      </w:r>
      <w:r>
        <w:rPr>
          <w:rFonts w:hint="eastAsia"/>
          <w:sz w:val="36"/>
        </w:rPr>
        <w:t>4</w:t>
      </w:r>
      <w:r>
        <w:rPr>
          <w:rFonts w:hint="eastAsia"/>
          <w:sz w:val="36"/>
        </w:rPr>
        <w:fldChar w:fldCharType="end"/>
      </w:r>
    </w:p>
    <w:p>
      <w:pPr>
        <w:pStyle w:val="31"/>
        <w:ind w:firstLine="720"/>
        <w:rPr>
          <w:caps w:val="0"/>
          <w:sz w:val="28"/>
          <w:szCs w:val="22"/>
        </w:rPr>
      </w:pPr>
      <w:r>
        <w:fldChar w:fldCharType="begin"/>
      </w:r>
      <w:r>
        <w:instrText xml:space="preserve"> HYPERLINK \l "_Toc479962290" </w:instrText>
      </w:r>
      <w:r>
        <w:fldChar w:fldCharType="separate"/>
      </w:r>
      <w:r>
        <w:rPr>
          <w:rStyle w:val="52"/>
          <w:rFonts w:hint="eastAsia"/>
          <w:color w:val="auto"/>
          <w:sz w:val="36"/>
        </w:rPr>
        <w:t>第二章</w:t>
      </w:r>
      <w:r>
        <w:rPr>
          <w:rStyle w:val="52"/>
          <w:color w:val="auto"/>
          <w:sz w:val="36"/>
        </w:rPr>
        <w:t xml:space="preserve">  </w:t>
      </w:r>
      <w:r>
        <w:rPr>
          <w:rStyle w:val="52"/>
          <w:rFonts w:hint="eastAsia"/>
          <w:color w:val="auto"/>
          <w:sz w:val="36"/>
        </w:rPr>
        <w:t>供应商须知</w:t>
      </w:r>
      <w:r>
        <w:rPr>
          <w:sz w:val="36"/>
        </w:rPr>
        <w:tab/>
      </w:r>
      <w:r>
        <w:rPr>
          <w:rFonts w:hint="eastAsia"/>
          <w:sz w:val="36"/>
        </w:rPr>
        <w:t>8</w:t>
      </w:r>
      <w:r>
        <w:rPr>
          <w:rFonts w:hint="eastAsia"/>
          <w:sz w:val="36"/>
        </w:rPr>
        <w:fldChar w:fldCharType="end"/>
      </w:r>
    </w:p>
    <w:p>
      <w:pPr>
        <w:pStyle w:val="31"/>
        <w:ind w:firstLine="720"/>
        <w:rPr>
          <w:caps w:val="0"/>
          <w:sz w:val="28"/>
          <w:szCs w:val="22"/>
        </w:rPr>
      </w:pPr>
      <w:r>
        <w:fldChar w:fldCharType="begin"/>
      </w:r>
      <w:r>
        <w:instrText xml:space="preserve"> HYPERLINK \l "_Toc479962291" </w:instrText>
      </w:r>
      <w:r>
        <w:fldChar w:fldCharType="separate"/>
      </w:r>
      <w:r>
        <w:rPr>
          <w:rStyle w:val="52"/>
          <w:rFonts w:hint="eastAsia"/>
          <w:bCs/>
          <w:color w:val="auto"/>
          <w:sz w:val="36"/>
        </w:rPr>
        <w:t>第三章</w:t>
      </w:r>
      <w:r>
        <w:rPr>
          <w:rStyle w:val="52"/>
          <w:bCs/>
          <w:color w:val="auto"/>
          <w:sz w:val="36"/>
        </w:rPr>
        <w:t xml:space="preserve">  </w:t>
      </w:r>
      <w:r>
        <w:rPr>
          <w:rStyle w:val="52"/>
          <w:rFonts w:hint="eastAsia"/>
          <w:bCs/>
          <w:color w:val="auto"/>
          <w:sz w:val="36"/>
        </w:rPr>
        <w:t>合同条款及格式</w:t>
      </w:r>
      <w:r>
        <w:rPr>
          <w:sz w:val="36"/>
        </w:rPr>
        <w:tab/>
      </w:r>
      <w:r>
        <w:rPr>
          <w:sz w:val="36"/>
        </w:rPr>
        <w:fldChar w:fldCharType="begin"/>
      </w:r>
      <w:r>
        <w:rPr>
          <w:sz w:val="36"/>
        </w:rPr>
        <w:instrText xml:space="preserve"> PAGEREF _Toc479962291 \h </w:instrText>
      </w:r>
      <w:r>
        <w:rPr>
          <w:sz w:val="36"/>
        </w:rPr>
        <w:fldChar w:fldCharType="separate"/>
      </w:r>
      <w:r>
        <w:rPr>
          <w:sz w:val="36"/>
        </w:rPr>
        <w:t>1</w:t>
      </w:r>
      <w:r>
        <w:rPr>
          <w:rFonts w:hint="eastAsia"/>
          <w:sz w:val="36"/>
        </w:rPr>
        <w:t>8</w:t>
      </w:r>
      <w:r>
        <w:rPr>
          <w:sz w:val="36"/>
        </w:rPr>
        <w:fldChar w:fldCharType="end"/>
      </w:r>
      <w:r>
        <w:rPr>
          <w:sz w:val="36"/>
        </w:rPr>
        <w:fldChar w:fldCharType="end"/>
      </w:r>
    </w:p>
    <w:p>
      <w:pPr>
        <w:pStyle w:val="31"/>
        <w:ind w:firstLine="720"/>
        <w:rPr>
          <w:caps w:val="0"/>
          <w:sz w:val="28"/>
          <w:szCs w:val="22"/>
        </w:rPr>
      </w:pPr>
      <w:r>
        <w:fldChar w:fldCharType="begin"/>
      </w:r>
      <w:r>
        <w:instrText xml:space="preserve"> HYPERLINK \l "_Toc479962292" </w:instrText>
      </w:r>
      <w:r>
        <w:fldChar w:fldCharType="separate"/>
      </w:r>
      <w:r>
        <w:rPr>
          <w:rStyle w:val="52"/>
          <w:rFonts w:hint="eastAsia"/>
          <w:bCs/>
          <w:color w:val="auto"/>
          <w:sz w:val="36"/>
        </w:rPr>
        <w:t>第四章</w:t>
      </w:r>
      <w:r>
        <w:rPr>
          <w:rStyle w:val="52"/>
          <w:bCs/>
          <w:color w:val="auto"/>
          <w:sz w:val="36"/>
        </w:rPr>
        <w:t xml:space="preserve">  </w:t>
      </w:r>
      <w:r>
        <w:rPr>
          <w:rStyle w:val="52"/>
          <w:rFonts w:hint="eastAsia"/>
          <w:bCs/>
          <w:color w:val="auto"/>
          <w:sz w:val="36"/>
        </w:rPr>
        <w:t>项目需求</w:t>
      </w:r>
      <w:r>
        <w:rPr>
          <w:sz w:val="36"/>
        </w:rPr>
        <w:tab/>
      </w:r>
      <w:r>
        <w:rPr>
          <w:sz w:val="36"/>
        </w:rPr>
        <w:fldChar w:fldCharType="begin"/>
      </w:r>
      <w:r>
        <w:rPr>
          <w:sz w:val="36"/>
        </w:rPr>
        <w:instrText xml:space="preserve"> PAGEREF _Toc479962292 \h </w:instrText>
      </w:r>
      <w:r>
        <w:rPr>
          <w:sz w:val="36"/>
        </w:rPr>
        <w:fldChar w:fldCharType="separate"/>
      </w:r>
      <w:r>
        <w:rPr>
          <w:sz w:val="36"/>
        </w:rPr>
        <w:t>2</w:t>
      </w:r>
      <w:r>
        <w:rPr>
          <w:rFonts w:hint="eastAsia"/>
          <w:sz w:val="36"/>
        </w:rPr>
        <w:t>2</w:t>
      </w:r>
      <w:r>
        <w:rPr>
          <w:sz w:val="36"/>
        </w:rPr>
        <w:fldChar w:fldCharType="end"/>
      </w:r>
      <w:r>
        <w:rPr>
          <w:sz w:val="36"/>
        </w:rPr>
        <w:fldChar w:fldCharType="end"/>
      </w:r>
    </w:p>
    <w:p>
      <w:pPr>
        <w:pStyle w:val="31"/>
        <w:ind w:firstLine="720"/>
        <w:rPr>
          <w:rStyle w:val="52"/>
          <w:color w:val="auto"/>
          <w:sz w:val="36"/>
        </w:rPr>
      </w:pPr>
      <w:r>
        <w:fldChar w:fldCharType="begin"/>
      </w:r>
      <w:r>
        <w:instrText xml:space="preserve"> HYPERLINK \l "_Toc479962293" </w:instrText>
      </w:r>
      <w:r>
        <w:fldChar w:fldCharType="separate"/>
      </w:r>
      <w:r>
        <w:rPr>
          <w:rStyle w:val="52"/>
          <w:rFonts w:hint="eastAsia"/>
          <w:bCs/>
          <w:color w:val="auto"/>
          <w:sz w:val="36"/>
        </w:rPr>
        <w:t>第五章</w:t>
      </w:r>
      <w:r>
        <w:rPr>
          <w:rStyle w:val="52"/>
          <w:bCs/>
          <w:color w:val="auto"/>
          <w:sz w:val="36"/>
        </w:rPr>
        <w:t xml:space="preserve">  </w:t>
      </w:r>
      <w:r>
        <w:rPr>
          <w:rStyle w:val="52"/>
          <w:rFonts w:hint="eastAsia"/>
          <w:bCs/>
          <w:color w:val="auto"/>
          <w:sz w:val="36"/>
        </w:rPr>
        <w:t>资格审查</w:t>
      </w:r>
      <w:r>
        <w:rPr>
          <w:sz w:val="36"/>
        </w:rPr>
        <w:tab/>
      </w:r>
      <w:r>
        <w:rPr>
          <w:sz w:val="36"/>
        </w:rPr>
        <w:fldChar w:fldCharType="end"/>
      </w:r>
      <w:r>
        <w:rPr>
          <w:rFonts w:hint="eastAsia"/>
          <w:sz w:val="36"/>
        </w:rPr>
        <w:t>35</w:t>
      </w:r>
    </w:p>
    <w:p>
      <w:pPr>
        <w:pStyle w:val="31"/>
        <w:ind w:firstLine="720"/>
        <w:rPr>
          <w:caps w:val="0"/>
          <w:sz w:val="28"/>
          <w:szCs w:val="22"/>
        </w:rPr>
      </w:pPr>
      <w:r>
        <w:fldChar w:fldCharType="begin"/>
      </w:r>
      <w:r>
        <w:instrText xml:space="preserve"> HYPERLINK \l "_Toc479962294" </w:instrText>
      </w:r>
      <w:r>
        <w:fldChar w:fldCharType="separate"/>
      </w:r>
      <w:r>
        <w:rPr>
          <w:rStyle w:val="52"/>
          <w:rFonts w:hint="eastAsia"/>
          <w:bCs/>
          <w:color w:val="auto"/>
          <w:sz w:val="36"/>
        </w:rPr>
        <w:t>第六章</w:t>
      </w:r>
      <w:r>
        <w:rPr>
          <w:rStyle w:val="52"/>
          <w:bCs/>
          <w:color w:val="auto"/>
          <w:sz w:val="36"/>
        </w:rPr>
        <w:t xml:space="preserve">  </w:t>
      </w:r>
      <w:r>
        <w:rPr>
          <w:rStyle w:val="52"/>
          <w:rFonts w:hint="eastAsia"/>
          <w:bCs/>
          <w:color w:val="auto"/>
          <w:sz w:val="36"/>
        </w:rPr>
        <w:t>评标办法</w:t>
      </w:r>
      <w:r>
        <w:rPr>
          <w:sz w:val="36"/>
        </w:rPr>
        <w:tab/>
      </w:r>
      <w:r>
        <w:rPr>
          <w:sz w:val="36"/>
        </w:rPr>
        <w:fldChar w:fldCharType="end"/>
      </w:r>
      <w:r>
        <w:rPr>
          <w:rFonts w:hint="eastAsia"/>
          <w:sz w:val="36"/>
        </w:rPr>
        <w:t>37</w:t>
      </w:r>
    </w:p>
    <w:p>
      <w:pPr>
        <w:pStyle w:val="31"/>
        <w:ind w:firstLine="720"/>
        <w:rPr>
          <w:caps w:val="0"/>
          <w:sz w:val="28"/>
          <w:szCs w:val="22"/>
        </w:rPr>
      </w:pPr>
      <w:r>
        <w:fldChar w:fldCharType="begin"/>
      </w:r>
      <w:r>
        <w:instrText xml:space="preserve"> HYPERLINK \l "_Toc479962294" </w:instrText>
      </w:r>
      <w:r>
        <w:fldChar w:fldCharType="separate"/>
      </w:r>
      <w:r>
        <w:rPr>
          <w:rStyle w:val="52"/>
          <w:rFonts w:hint="eastAsia"/>
          <w:bCs/>
          <w:color w:val="auto"/>
          <w:sz w:val="36"/>
        </w:rPr>
        <w:t>第七章</w:t>
      </w:r>
      <w:r>
        <w:rPr>
          <w:rStyle w:val="52"/>
          <w:bCs/>
          <w:color w:val="auto"/>
          <w:sz w:val="36"/>
        </w:rPr>
        <w:t xml:space="preserve">  </w:t>
      </w:r>
      <w:r>
        <w:rPr>
          <w:rStyle w:val="52"/>
          <w:rFonts w:hint="eastAsia"/>
          <w:bCs/>
          <w:color w:val="auto"/>
          <w:sz w:val="36"/>
        </w:rPr>
        <w:t>投标文件格式</w:t>
      </w:r>
      <w:r>
        <w:rPr>
          <w:sz w:val="36"/>
        </w:rPr>
        <w:tab/>
      </w:r>
      <w:r>
        <w:rPr>
          <w:sz w:val="36"/>
        </w:rPr>
        <w:fldChar w:fldCharType="end"/>
      </w:r>
      <w:r>
        <w:rPr>
          <w:rFonts w:hint="eastAsia"/>
          <w:sz w:val="36"/>
        </w:rPr>
        <w:t>39</w:t>
      </w:r>
    </w:p>
    <w:p>
      <w:pPr>
        <w:ind w:firstLine="561"/>
        <w:rPr>
          <w:rFonts w:ascii="宋体" w:hAnsi="宋体"/>
        </w:rPr>
      </w:pPr>
      <w:r>
        <w:rPr>
          <w:rFonts w:ascii="宋体" w:hAnsi="宋体"/>
          <w:b/>
          <w:bCs/>
          <w:sz w:val="28"/>
          <w:lang w:val="zh-CN"/>
        </w:rPr>
        <w:fldChar w:fldCharType="end"/>
      </w:r>
    </w:p>
    <w:p>
      <w:pPr>
        <w:spacing w:line="480" w:lineRule="auto"/>
        <w:ind w:firstLine="720"/>
        <w:jc w:val="center"/>
        <w:outlineLvl w:val="0"/>
        <w:rPr>
          <w:rFonts w:ascii="宋体" w:hAnsi="宋体"/>
          <w:sz w:val="36"/>
        </w:rPr>
      </w:pPr>
    </w:p>
    <w:p>
      <w:pPr>
        <w:spacing w:line="360" w:lineRule="auto"/>
        <w:ind w:firstLine="720"/>
        <w:jc w:val="center"/>
        <w:outlineLvl w:val="0"/>
        <w:rPr>
          <w:rFonts w:ascii="宋体" w:hAnsi="宋体" w:cs="宋体"/>
          <w:sz w:val="25"/>
        </w:rPr>
      </w:pPr>
      <w:r>
        <w:rPr>
          <w:rFonts w:ascii="宋体" w:hAnsi="宋体"/>
          <w:sz w:val="44"/>
          <w:szCs w:val="44"/>
        </w:rPr>
        <w:br w:type="page"/>
      </w:r>
      <w:bookmarkStart w:id="6" w:name="_Toc415233241"/>
      <w:bookmarkStart w:id="7" w:name="_Toc438651106"/>
      <w:bookmarkStart w:id="8" w:name="_Toc479962289"/>
      <w:r>
        <w:rPr>
          <w:rFonts w:hint="eastAsia" w:ascii="宋体" w:hAnsi="宋体" w:cs="宋体"/>
          <w:b/>
          <w:bCs/>
          <w:kern w:val="0"/>
          <w:sz w:val="48"/>
        </w:rPr>
        <w:t>招标文件备案表</w:t>
      </w:r>
      <w:bookmarkEnd w:id="6"/>
      <w:bookmarkEnd w:id="7"/>
    </w:p>
    <w:tbl>
      <w:tblPr>
        <w:tblStyle w:val="46"/>
        <w:tblW w:w="8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57" w:hRule="atLeast"/>
          <w:jc w:val="center"/>
        </w:trPr>
        <w:tc>
          <w:tcPr>
            <w:tcW w:w="87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tabs>
                <w:tab w:val="left" w:pos="5070"/>
              </w:tabs>
              <w:spacing w:line="360" w:lineRule="auto"/>
              <w:ind w:firstLine="240" w:firstLineChars="100"/>
              <w:rPr>
                <w:rFonts w:ascii="宋体" w:hAnsi="宋体" w:cs="宋体"/>
                <w:sz w:val="24"/>
              </w:rPr>
            </w:pPr>
            <w:r>
              <w:rPr>
                <w:rFonts w:hint="eastAsia" w:ascii="宋体" w:hAnsi="宋体" w:cs="宋体"/>
                <w:sz w:val="24"/>
              </w:rPr>
              <w:t xml:space="preserve">编制人： </w:t>
            </w:r>
          </w:p>
          <w:p>
            <w:pPr>
              <w:tabs>
                <w:tab w:val="left" w:pos="5070"/>
              </w:tabs>
              <w:spacing w:line="360" w:lineRule="auto"/>
              <w:jc w:val="center"/>
              <w:rPr>
                <w:rFonts w:ascii="宋体" w:hAnsi="宋体" w:cs="宋体"/>
                <w:sz w:val="24"/>
              </w:rPr>
            </w:pPr>
            <w:r>
              <w:rPr>
                <w:rFonts w:hint="eastAsia" w:ascii="宋体" w:hAnsi="宋体" w:cs="宋体"/>
                <w:sz w:val="24"/>
              </w:rPr>
              <w:t xml:space="preserve">                                 </w:t>
            </w:r>
          </w:p>
          <w:p>
            <w:pPr>
              <w:tabs>
                <w:tab w:val="left" w:pos="5070"/>
              </w:tabs>
              <w:spacing w:line="360" w:lineRule="auto"/>
              <w:jc w:val="center"/>
              <w:rPr>
                <w:rFonts w:ascii="宋体" w:hAnsi="宋体" w:cs="宋体"/>
                <w:sz w:val="24"/>
              </w:rPr>
            </w:pPr>
            <w:r>
              <w:rPr>
                <w:rFonts w:hint="eastAsia" w:ascii="宋体" w:hAnsi="宋体" w:cs="宋体"/>
                <w:sz w:val="24"/>
              </w:rPr>
              <w:t xml:space="preserve">                                      日  期： 2020年7月9日</w:t>
            </w:r>
          </w:p>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07" w:hRule="atLeast"/>
          <w:jc w:val="center"/>
        </w:trPr>
        <w:tc>
          <w:tcPr>
            <w:tcW w:w="87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ind w:firstLine="240" w:firstLineChars="100"/>
              <w:rPr>
                <w:rFonts w:ascii="宋体" w:hAnsi="宋体" w:cs="宋体"/>
                <w:sz w:val="24"/>
              </w:rPr>
            </w:pPr>
            <w:r>
              <w:rPr>
                <w:rFonts w:hint="eastAsia" w:ascii="宋体" w:hAnsi="宋体" w:cs="宋体"/>
                <w:sz w:val="24"/>
              </w:rPr>
              <w:t>采购人(盖章)             代表人(签字)</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日  期：2020年7月9日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3" w:hRule="atLeast"/>
          <w:jc w:val="center"/>
        </w:trPr>
        <w:tc>
          <w:tcPr>
            <w:tcW w:w="87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ind w:firstLine="240" w:firstLineChars="100"/>
              <w:rPr>
                <w:rFonts w:ascii="宋体" w:hAnsi="宋体" w:cs="宋体"/>
                <w:sz w:val="24"/>
              </w:rPr>
            </w:pPr>
            <w:r>
              <w:rPr>
                <w:rFonts w:hint="eastAsia" w:ascii="宋体" w:hAnsi="宋体" w:cs="宋体"/>
                <w:sz w:val="24"/>
              </w:rPr>
              <w:t>招标代理机构(盖章)        法定代表人(签字)</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                                              日  期：2020年7月9日</w:t>
            </w:r>
          </w:p>
          <w:p>
            <w:pPr>
              <w:spacing w:line="360" w:lineRule="auto"/>
              <w:rPr>
                <w:rFonts w:ascii="宋体" w:hAnsi="宋体" w:cs="宋体"/>
                <w:sz w:val="24"/>
              </w:rPr>
            </w:pPr>
          </w:p>
        </w:tc>
      </w:tr>
    </w:tbl>
    <w:p>
      <w:pPr>
        <w:spacing w:line="360" w:lineRule="auto"/>
        <w:jc w:val="center"/>
        <w:rPr>
          <w:rFonts w:ascii="宋体" w:hAnsi="宋体"/>
          <w:sz w:val="44"/>
          <w:szCs w:val="44"/>
        </w:rPr>
      </w:pPr>
      <w:r>
        <w:rPr>
          <w:rFonts w:ascii="宋体" w:hAnsi="宋体"/>
          <w:sz w:val="44"/>
          <w:szCs w:val="44"/>
        </w:rPr>
        <w:br w:type="page"/>
      </w:r>
      <w:r>
        <w:rPr>
          <w:rFonts w:hint="eastAsia" w:ascii="宋体" w:hAnsi="宋体"/>
          <w:sz w:val="44"/>
          <w:szCs w:val="44"/>
        </w:rPr>
        <w:t xml:space="preserve">  第一章  </w:t>
      </w:r>
      <w:bookmarkStart w:id="9" w:name="OLE_LINK1"/>
      <w:r>
        <w:rPr>
          <w:rFonts w:hint="eastAsia" w:ascii="宋体" w:hAnsi="宋体"/>
          <w:sz w:val="44"/>
          <w:szCs w:val="44"/>
        </w:rPr>
        <w:t>招标公告</w:t>
      </w:r>
      <w:bookmarkEnd w:id="8"/>
    </w:p>
    <w:p>
      <w:pPr>
        <w:spacing w:line="360" w:lineRule="auto"/>
        <w:ind w:firstLine="482" w:firstLineChars="200"/>
        <w:contextualSpacing/>
        <w:rPr>
          <w:rFonts w:ascii="宋体" w:hAnsi="宋体"/>
          <w:sz w:val="24"/>
          <w:szCs w:val="24"/>
        </w:rPr>
      </w:pPr>
      <w:r>
        <w:rPr>
          <w:rFonts w:hint="eastAsia" w:ascii="宋体" w:hAnsi="宋体"/>
          <w:b/>
          <w:sz w:val="24"/>
          <w:szCs w:val="24"/>
          <w:u w:val="single"/>
        </w:rPr>
        <w:t>南通通城建设工程项目管理有限公司</w:t>
      </w:r>
      <w:r>
        <w:rPr>
          <w:rFonts w:hint="eastAsia" w:ascii="宋体" w:hAnsi="宋体"/>
          <w:sz w:val="24"/>
          <w:szCs w:val="24"/>
        </w:rPr>
        <w:t>（以下简称“代理机构”）受</w:t>
      </w:r>
      <w:r>
        <w:rPr>
          <w:rFonts w:hint="eastAsia" w:ascii="宋体" w:hAnsi="宋体"/>
          <w:b/>
          <w:bCs/>
          <w:sz w:val="24"/>
          <w:u w:val="single"/>
        </w:rPr>
        <w:t>南通农副产品物流有限公司</w:t>
      </w:r>
      <w:r>
        <w:rPr>
          <w:rFonts w:hint="eastAsia" w:ascii="宋体" w:hAnsi="宋体"/>
          <w:sz w:val="24"/>
          <w:szCs w:val="24"/>
        </w:rPr>
        <w:t>委托，对其所需的</w:t>
      </w:r>
      <w:r>
        <w:rPr>
          <w:rFonts w:hint="eastAsia" w:ascii="宋体" w:hAnsi="宋体"/>
          <w:b/>
          <w:bCs/>
          <w:sz w:val="24"/>
          <w:u w:val="single"/>
        </w:rPr>
        <w:t>南通农副产品物流有限公司消防系统专业维保服务项目</w:t>
      </w:r>
      <w:r>
        <w:rPr>
          <w:rFonts w:hint="eastAsia" w:ascii="宋体" w:hAnsi="宋体"/>
          <w:sz w:val="24"/>
          <w:szCs w:val="24"/>
        </w:rPr>
        <w:t>进行招标，现欢迎符合相关条件的合格供应商投标。</w:t>
      </w:r>
    </w:p>
    <w:p>
      <w:pPr>
        <w:spacing w:line="360" w:lineRule="auto"/>
        <w:contextualSpacing/>
        <w:rPr>
          <w:rFonts w:ascii="宋体" w:hAnsi="宋体"/>
          <w:b/>
          <w:sz w:val="24"/>
          <w:szCs w:val="24"/>
        </w:rPr>
      </w:pPr>
      <w:r>
        <w:rPr>
          <w:rFonts w:hint="eastAsia" w:ascii="宋体" w:hAnsi="宋体"/>
          <w:b/>
          <w:sz w:val="24"/>
          <w:szCs w:val="24"/>
        </w:rPr>
        <w:t>一、招标项目名称</w:t>
      </w:r>
    </w:p>
    <w:p>
      <w:pPr>
        <w:snapToGrid w:val="0"/>
        <w:spacing w:line="360" w:lineRule="auto"/>
        <w:ind w:firstLine="480" w:firstLineChars="200"/>
        <w:rPr>
          <w:rFonts w:ascii="宋体" w:hAnsi="宋体"/>
          <w:b/>
          <w:sz w:val="24"/>
          <w:szCs w:val="24"/>
        </w:rPr>
      </w:pPr>
      <w:r>
        <w:rPr>
          <w:rFonts w:hint="eastAsia" w:ascii="宋体" w:hAnsi="宋体"/>
          <w:sz w:val="24"/>
          <w:szCs w:val="24"/>
        </w:rPr>
        <w:t>项目名称：</w:t>
      </w:r>
      <w:r>
        <w:rPr>
          <w:rFonts w:hint="eastAsia" w:ascii="宋体" w:hAnsi="宋体"/>
          <w:bCs/>
          <w:sz w:val="24"/>
        </w:rPr>
        <w:t>南通农副产品物流有限公司消防系统专业维保服务项目</w:t>
      </w:r>
    </w:p>
    <w:p>
      <w:pPr>
        <w:snapToGrid w:val="0"/>
        <w:spacing w:line="360" w:lineRule="auto"/>
        <w:rPr>
          <w:rFonts w:ascii="宋体" w:hAnsi="宋体"/>
          <w:b/>
          <w:sz w:val="24"/>
          <w:szCs w:val="24"/>
        </w:rPr>
      </w:pPr>
      <w:r>
        <w:rPr>
          <w:rFonts w:hint="eastAsia" w:ascii="宋体" w:hAnsi="宋体"/>
          <w:b/>
          <w:sz w:val="24"/>
          <w:szCs w:val="24"/>
        </w:rPr>
        <w:t>二、采购预算及最高限价</w:t>
      </w:r>
    </w:p>
    <w:p>
      <w:pPr>
        <w:spacing w:line="360" w:lineRule="auto"/>
        <w:ind w:firstLine="480" w:firstLineChars="200"/>
        <w:rPr>
          <w:rFonts w:asciiTheme="majorEastAsia" w:hAnsiTheme="majorEastAsia" w:eastAsiaTheme="majorEastAsia" w:cstheme="minorBidi"/>
          <w:sz w:val="24"/>
          <w:szCs w:val="22"/>
        </w:rPr>
      </w:pPr>
      <w:r>
        <w:rPr>
          <w:rFonts w:hint="eastAsia" w:ascii="宋体" w:hAnsi="宋体"/>
          <w:sz w:val="24"/>
          <w:szCs w:val="24"/>
        </w:rPr>
        <w:t>本项目最高限价</w:t>
      </w:r>
      <w:r>
        <w:rPr>
          <w:rFonts w:hint="eastAsia" w:ascii="宋体" w:hAnsi="宋体" w:cs="宋体"/>
          <w:b/>
          <w:bCs/>
          <w:kern w:val="0"/>
          <w:sz w:val="24"/>
          <w:szCs w:val="24"/>
          <w:u w:val="single"/>
        </w:rPr>
        <w:t>人民币47万元/年</w:t>
      </w:r>
      <w:r>
        <w:rPr>
          <w:rFonts w:hint="eastAsia" w:ascii="宋体" w:hAnsi="宋体"/>
          <w:sz w:val="24"/>
          <w:szCs w:val="24"/>
        </w:rPr>
        <w:t>，</w:t>
      </w:r>
      <w:r>
        <w:rPr>
          <w:rFonts w:hint="eastAsia" w:asciiTheme="majorEastAsia" w:hAnsiTheme="majorEastAsia" w:eastAsiaTheme="majorEastAsia" w:cstheme="minorBidi"/>
          <w:sz w:val="24"/>
          <w:szCs w:val="22"/>
        </w:rPr>
        <w:t>参加投标的供应商（以下简称供应商）的报价一旦作为中标价为采购人接受，双方将据此签订本项目范围内的维保服务合同。</w:t>
      </w:r>
    </w:p>
    <w:p>
      <w:pPr>
        <w:snapToGrid w:val="0"/>
        <w:spacing w:line="360" w:lineRule="auto"/>
        <w:rPr>
          <w:rFonts w:ascii="宋体" w:hAnsi="宋体"/>
          <w:b/>
          <w:sz w:val="24"/>
          <w:szCs w:val="24"/>
        </w:rPr>
      </w:pPr>
      <w:r>
        <w:rPr>
          <w:rFonts w:hint="eastAsia" w:ascii="宋体" w:hAnsi="宋体"/>
          <w:b/>
          <w:sz w:val="24"/>
          <w:szCs w:val="24"/>
        </w:rPr>
        <w:t>三、项目需求说明</w:t>
      </w:r>
    </w:p>
    <w:p>
      <w:pPr>
        <w:snapToGrid w:val="0"/>
        <w:spacing w:line="360" w:lineRule="auto"/>
        <w:ind w:firstLine="480" w:firstLineChars="200"/>
        <w:jc w:val="left"/>
        <w:outlineLvl w:val="0"/>
        <w:rPr>
          <w:rFonts w:ascii="宋体" w:hAnsi="宋体"/>
          <w:sz w:val="24"/>
          <w:szCs w:val="24"/>
        </w:rPr>
      </w:pPr>
      <w:r>
        <w:rPr>
          <w:rFonts w:ascii="宋体" w:hAnsi="宋体"/>
          <w:sz w:val="24"/>
          <w:szCs w:val="24"/>
        </w:rPr>
        <w:t>1、</w:t>
      </w:r>
      <w:r>
        <w:rPr>
          <w:rFonts w:hint="eastAsia" w:ascii="宋体" w:hAnsi="宋体"/>
          <w:sz w:val="24"/>
          <w:szCs w:val="24"/>
        </w:rPr>
        <w:t>招标范围：</w:t>
      </w:r>
      <w:r>
        <w:rPr>
          <w:rFonts w:hint="eastAsia" w:cs="宋体" w:asciiTheme="majorEastAsia" w:hAnsiTheme="majorEastAsia" w:eastAsiaTheme="majorEastAsia"/>
          <w:sz w:val="24"/>
          <w:szCs w:val="24"/>
        </w:rPr>
        <w:t>南通农副产品物流中心内24小时消防设施</w:t>
      </w:r>
      <w:r>
        <w:rPr>
          <w:rFonts w:hint="eastAsia" w:ascii="宋体" w:hAnsi="宋体"/>
          <w:sz w:val="24"/>
          <w:szCs w:val="24"/>
        </w:rPr>
        <w:t>设备维护、检修、保养和消防控制室值班值守，具体维保内容详见招标文件第四章项目需求。</w:t>
      </w:r>
    </w:p>
    <w:p>
      <w:pPr>
        <w:snapToGrid w:val="0"/>
        <w:spacing w:line="360" w:lineRule="auto"/>
        <w:ind w:firstLine="480" w:firstLineChars="200"/>
        <w:jc w:val="left"/>
        <w:outlineLvl w:val="0"/>
        <w:rPr>
          <w:rFonts w:ascii="宋体" w:hAnsi="宋体"/>
          <w:sz w:val="24"/>
          <w:szCs w:val="24"/>
        </w:rPr>
      </w:pPr>
      <w:r>
        <w:rPr>
          <w:rFonts w:ascii="宋体" w:hAnsi="宋体"/>
          <w:sz w:val="24"/>
          <w:szCs w:val="24"/>
        </w:rPr>
        <w:t>2、</w:t>
      </w:r>
      <w:r>
        <w:rPr>
          <w:rFonts w:hint="eastAsia" w:ascii="宋体" w:hAnsi="宋体"/>
          <w:sz w:val="24"/>
          <w:szCs w:val="24"/>
        </w:rPr>
        <w:t>服务地点：</w:t>
      </w:r>
      <w:r>
        <w:rPr>
          <w:rFonts w:hint="eastAsia" w:ascii="宋体" w:hAnsi="宋体"/>
          <w:bCs/>
          <w:sz w:val="24"/>
          <w:szCs w:val="24"/>
        </w:rPr>
        <w:t>南通农副产品物流有限公司</w:t>
      </w:r>
    </w:p>
    <w:p>
      <w:pPr>
        <w:widowControl/>
        <w:spacing w:line="360" w:lineRule="auto"/>
        <w:ind w:firstLine="480" w:firstLineChars="200"/>
        <w:contextualSpacing/>
        <w:jc w:val="left"/>
        <w:rPr>
          <w:rFonts w:ascii="宋体" w:hAnsi="宋体"/>
          <w:kern w:val="0"/>
          <w:sz w:val="24"/>
          <w:szCs w:val="24"/>
        </w:rPr>
      </w:pPr>
      <w:r>
        <w:rPr>
          <w:rFonts w:ascii="宋体" w:hAnsi="宋体"/>
          <w:kern w:val="0"/>
          <w:sz w:val="24"/>
          <w:szCs w:val="24"/>
        </w:rPr>
        <w:t>3、</w:t>
      </w:r>
      <w:r>
        <w:rPr>
          <w:rFonts w:hint="eastAsia" w:ascii="宋体" w:hAnsi="宋体"/>
          <w:kern w:val="0"/>
          <w:sz w:val="24"/>
          <w:szCs w:val="24"/>
        </w:rPr>
        <w:t>服务期限</w:t>
      </w:r>
      <w:r>
        <w:rPr>
          <w:rFonts w:hint="eastAsia" w:ascii="宋体" w:hAnsi="宋体" w:cs="Arial"/>
          <w:kern w:val="0"/>
          <w:sz w:val="24"/>
          <w:szCs w:val="24"/>
        </w:rPr>
        <w:t>：维保服务期三年。维保服务合同一年一签，维保服务当年期满通过年度评定的，按中标维保价格续签下一年维保服务期。年度评定不通过的，采购人有权立即终止合同，另行招标。</w:t>
      </w:r>
    </w:p>
    <w:p>
      <w:pPr>
        <w:widowControl/>
        <w:spacing w:line="360" w:lineRule="auto"/>
        <w:ind w:firstLine="480" w:firstLineChars="200"/>
        <w:contextualSpacing/>
        <w:jc w:val="left"/>
        <w:textAlignment w:val="baseline"/>
        <w:rPr>
          <w:rFonts w:ascii="宋体" w:hAnsi="宋体"/>
          <w:kern w:val="0"/>
          <w:sz w:val="24"/>
          <w:szCs w:val="24"/>
        </w:rPr>
      </w:pPr>
      <w:r>
        <w:rPr>
          <w:rFonts w:hint="eastAsia" w:ascii="宋体" w:hAnsi="宋体"/>
          <w:kern w:val="0"/>
          <w:sz w:val="24"/>
          <w:szCs w:val="24"/>
        </w:rPr>
        <w:t>4、标段划分：</w:t>
      </w:r>
      <w:r>
        <w:rPr>
          <w:rFonts w:hint="eastAsia" w:ascii="宋体" w:hAnsi="宋体"/>
          <w:kern w:val="0"/>
          <w:sz w:val="24"/>
          <w:szCs w:val="24"/>
          <w:u w:val="single"/>
        </w:rPr>
        <w:t>1</w:t>
      </w:r>
      <w:r>
        <w:rPr>
          <w:rFonts w:hint="eastAsia" w:ascii="宋体" w:hAnsi="宋体"/>
          <w:kern w:val="0"/>
          <w:sz w:val="24"/>
          <w:szCs w:val="24"/>
        </w:rPr>
        <w:t>个标段。</w:t>
      </w:r>
    </w:p>
    <w:p>
      <w:pPr>
        <w:spacing w:line="360" w:lineRule="auto"/>
        <w:contextualSpacing/>
        <w:rPr>
          <w:rFonts w:ascii="宋体" w:hAnsi="宋体"/>
          <w:b/>
          <w:sz w:val="24"/>
          <w:szCs w:val="24"/>
        </w:rPr>
      </w:pPr>
      <w:r>
        <w:rPr>
          <w:rFonts w:hint="eastAsia" w:ascii="宋体" w:hAnsi="宋体"/>
          <w:b/>
          <w:sz w:val="24"/>
          <w:szCs w:val="24"/>
        </w:rPr>
        <w:t>四、服务商资格要求</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bookmarkStart w:id="10" w:name="OLE_LINK7"/>
      <w:bookmarkStart w:id="11" w:name="OLE_LINK8"/>
      <w:r>
        <w:rPr>
          <w:rFonts w:hint="eastAsia" w:cs="宋体" w:asciiTheme="majorEastAsia" w:hAnsiTheme="majorEastAsia" w:eastAsiaTheme="majorEastAsia"/>
          <w:color w:val="000000" w:themeColor="text1"/>
          <w:sz w:val="24"/>
          <w:szCs w:val="24"/>
        </w:rPr>
        <w:t>（一）符合采购法第二十二条第一款规定的条件，并提供下列材料：</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1、</w:t>
      </w:r>
      <w:r>
        <w:rPr>
          <w:rFonts w:cs="宋体" w:asciiTheme="majorEastAsia" w:hAnsiTheme="majorEastAsia" w:eastAsiaTheme="majorEastAsia"/>
          <w:color w:val="000000" w:themeColor="text1"/>
          <w:sz w:val="24"/>
          <w:szCs w:val="24"/>
        </w:rPr>
        <w:t>法人或者其他组织的营业执照等证明文件，自然人的身份证明；</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cs="宋体" w:asciiTheme="majorEastAsia" w:hAnsiTheme="majorEastAsia" w:eastAsiaTheme="majorEastAsia"/>
          <w:color w:val="000000" w:themeColor="text1"/>
          <w:sz w:val="24"/>
          <w:szCs w:val="24"/>
        </w:rPr>
        <w:t>2、上一年度的财务状况报告（成立不满一年不需提供）；</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3</w:t>
      </w:r>
      <w:r>
        <w:rPr>
          <w:rFonts w:cs="宋体" w:asciiTheme="majorEastAsia" w:hAnsiTheme="majorEastAsia" w:eastAsiaTheme="majorEastAsia"/>
          <w:color w:val="000000" w:themeColor="text1"/>
          <w:sz w:val="24"/>
          <w:szCs w:val="24"/>
        </w:rPr>
        <w:t>、依法缴纳税收和社会保障资金的相关材料；</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cs="宋体" w:asciiTheme="majorEastAsia" w:hAnsiTheme="majorEastAsia" w:eastAsiaTheme="majorEastAsia"/>
          <w:color w:val="000000" w:themeColor="text1"/>
          <w:sz w:val="24"/>
          <w:szCs w:val="24"/>
        </w:rPr>
        <w:t>4、具备履行合同所必需的设备和专业技术能力的证明材料；</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cs="宋体" w:asciiTheme="majorEastAsia" w:hAnsiTheme="majorEastAsia" w:eastAsiaTheme="majorEastAsia"/>
          <w:color w:val="000000" w:themeColor="text1"/>
          <w:sz w:val="24"/>
          <w:szCs w:val="24"/>
        </w:rPr>
        <w:t>5、参加采购活动前3年内在经营活动中没有重大违法记录的书面声明；</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（二）采购人其他要求:</w:t>
      </w:r>
    </w:p>
    <w:p>
      <w:pPr>
        <w:widowControl/>
        <w:spacing w:line="360" w:lineRule="auto"/>
        <w:ind w:firstLine="480" w:firstLineChars="200"/>
        <w:contextualSpacing/>
        <w:rPr>
          <w:rFonts w:ascii="宋体" w:hAnsi="宋体" w:cs="宋体"/>
          <w:spacing w:val="-1"/>
          <w:kern w:val="0"/>
          <w:sz w:val="24"/>
        </w:rPr>
      </w:pPr>
      <w:r>
        <w:rPr>
          <w:rFonts w:hint="eastAsia" w:cs="宋体" w:asciiTheme="majorEastAsia" w:hAnsiTheme="majorEastAsia" w:eastAsiaTheme="majorEastAsia"/>
          <w:color w:val="000000" w:themeColor="text1"/>
          <w:sz w:val="24"/>
          <w:szCs w:val="24"/>
        </w:rPr>
        <w:t>1、</w:t>
      </w:r>
      <w:r>
        <w:rPr>
          <w:rFonts w:hint="eastAsia" w:ascii="宋体" w:hAnsi="宋体" w:cs="宋体"/>
          <w:kern w:val="0"/>
          <w:sz w:val="24"/>
          <w:szCs w:val="24"/>
        </w:rPr>
        <w:t>具有有效的营业执照、组织机构代码证、税务登记证或三证合一的营业执照</w:t>
      </w:r>
      <w:r>
        <w:rPr>
          <w:rFonts w:hint="eastAsia" w:ascii="宋体" w:hAnsi="宋体" w:cs="宋体"/>
          <w:spacing w:val="-1"/>
          <w:kern w:val="0"/>
          <w:sz w:val="24"/>
        </w:rPr>
        <w:t>。</w:t>
      </w:r>
    </w:p>
    <w:p>
      <w:pPr>
        <w:widowControl/>
        <w:spacing w:line="360" w:lineRule="auto"/>
        <w:ind w:firstLine="476" w:firstLineChars="200"/>
        <w:contextualSpacing/>
        <w:rPr>
          <w:rFonts w:ascii="宋体" w:hAnsi="宋体" w:cs="宋体"/>
          <w:spacing w:val="-1"/>
          <w:kern w:val="0"/>
          <w:sz w:val="24"/>
        </w:rPr>
      </w:pPr>
      <w:r>
        <w:rPr>
          <w:rFonts w:hint="eastAsia" w:ascii="宋体" w:hAnsi="宋体" w:cs="宋体"/>
          <w:spacing w:val="-1"/>
          <w:kern w:val="0"/>
          <w:sz w:val="24"/>
        </w:rPr>
        <w:t>2、具有消防设施工程专业承包二级及以上或消防设施工程设计与施工一体化二级及以上资质（须在合同执行过程中有效）。</w:t>
      </w:r>
    </w:p>
    <w:p>
      <w:pPr>
        <w:widowControl/>
        <w:spacing w:line="360" w:lineRule="auto"/>
        <w:ind w:firstLine="476" w:firstLineChars="200"/>
        <w:contextualSpacing/>
        <w:rPr>
          <w:rFonts w:ascii="宋体" w:hAnsi="宋体" w:cs="宋体"/>
          <w:sz w:val="24"/>
          <w:szCs w:val="24"/>
          <w:lang w:val="zh-CN"/>
        </w:rPr>
      </w:pPr>
      <w:r>
        <w:rPr>
          <w:rFonts w:hint="eastAsia" w:ascii="宋体" w:hAnsi="宋体" w:cs="宋体"/>
          <w:spacing w:val="-1"/>
          <w:kern w:val="0"/>
          <w:sz w:val="24"/>
        </w:rPr>
        <w:t>3、</w:t>
      </w:r>
      <w:r>
        <w:rPr>
          <w:rFonts w:hint="eastAsia" w:ascii="宋体" w:hAnsi="宋体" w:cs="宋体"/>
          <w:sz w:val="24"/>
          <w:szCs w:val="24"/>
          <w:lang w:val="zh-CN"/>
        </w:rPr>
        <w:t>具备安全生产条件，并取得安全生产许可证。</w:t>
      </w:r>
    </w:p>
    <w:p>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4</w:t>
      </w:r>
      <w:r>
        <w:rPr>
          <w:rFonts w:hint="eastAsia" w:ascii="宋体" w:hAnsi="宋体" w:cs="宋体"/>
          <w:sz w:val="24"/>
          <w:szCs w:val="24"/>
          <w:lang w:val="zh-CN"/>
        </w:rPr>
        <w:t>、拟派现场维保人员至少六人，其中至少三人持有有效的建（构）筑物消防员证书或消防设施操作员中级及以上证书、至少三人持有有效的建（构）筑物消防员证书或消防设施操作员初级及以上证书（在其中选一人为本项目负责人，并在投标文件中明确）。</w:t>
      </w:r>
    </w:p>
    <w:p>
      <w:pPr>
        <w:pStyle w:val="2"/>
        <w:ind w:firstLine="480"/>
        <w:rPr>
          <w:sz w:val="24"/>
          <w:szCs w:val="24"/>
          <w:lang w:val="zh-CN"/>
        </w:rPr>
      </w:pPr>
      <w:r>
        <w:rPr>
          <w:rFonts w:hint="eastAsia"/>
          <w:sz w:val="24"/>
          <w:szCs w:val="24"/>
          <w:lang w:val="zh-CN"/>
        </w:rPr>
        <w:t>拟派人员男性年龄不超过60周岁，女性年龄不超过50周岁。</w:t>
      </w:r>
    </w:p>
    <w:p>
      <w:pPr>
        <w:widowControl/>
        <w:spacing w:line="360" w:lineRule="auto"/>
        <w:ind w:firstLine="476" w:firstLineChars="200"/>
        <w:contextualSpacing/>
        <w:rPr>
          <w:rFonts w:ascii="宋体" w:hAnsi="宋体" w:cs="宋体"/>
          <w:sz w:val="24"/>
          <w:szCs w:val="24"/>
          <w:lang w:val="zh-CN"/>
        </w:rPr>
      </w:pPr>
      <w:r>
        <w:rPr>
          <w:rFonts w:hint="eastAsia" w:ascii="宋体" w:hAnsi="宋体" w:cs="宋体"/>
          <w:spacing w:val="-1"/>
          <w:kern w:val="0"/>
          <w:sz w:val="24"/>
        </w:rPr>
        <w:t>5、</w:t>
      </w:r>
      <w:r>
        <w:rPr>
          <w:rFonts w:hint="eastAsia" w:ascii="宋体" w:hAnsi="宋体" w:cs="宋体"/>
          <w:sz w:val="24"/>
          <w:szCs w:val="24"/>
          <w:lang w:val="zh-CN"/>
        </w:rPr>
        <w:t>投标供应商需提供企业为拟派本项目组所有成员缴纳的2019年</w:t>
      </w:r>
      <w:r>
        <w:rPr>
          <w:rFonts w:hint="eastAsia" w:ascii="宋体" w:hAnsi="宋体" w:cs="宋体"/>
          <w:sz w:val="24"/>
          <w:szCs w:val="24"/>
        </w:rPr>
        <w:t>6</w:t>
      </w:r>
      <w:r>
        <w:rPr>
          <w:rFonts w:hint="eastAsia" w:ascii="宋体" w:hAnsi="宋体" w:cs="宋体"/>
          <w:sz w:val="24"/>
          <w:szCs w:val="24"/>
          <w:lang w:val="zh-CN"/>
        </w:rPr>
        <w:t>月以来连续6个月的个人养老保险证明；</w:t>
      </w:r>
    </w:p>
    <w:bookmarkEnd w:id="10"/>
    <w:bookmarkEnd w:id="11"/>
    <w:p>
      <w:pPr>
        <w:spacing w:line="360" w:lineRule="auto"/>
        <w:ind w:firstLine="480" w:firstLineChars="200"/>
        <w:contextualSpacing/>
        <w:rPr>
          <w:rFonts w:ascii="宋体" w:hAnsi="宋体"/>
          <w:sz w:val="24"/>
          <w:szCs w:val="24"/>
        </w:rPr>
      </w:pPr>
      <w:r>
        <w:rPr>
          <w:rFonts w:hint="eastAsia" w:ascii="宋体" w:hAnsi="宋体"/>
          <w:sz w:val="24"/>
          <w:szCs w:val="24"/>
        </w:rPr>
        <w:t>（三）本项目</w:t>
      </w:r>
      <w:r>
        <w:rPr>
          <w:rFonts w:hint="eastAsia" w:ascii="宋体" w:hAnsi="宋体"/>
          <w:sz w:val="24"/>
          <w:szCs w:val="24"/>
          <w:u w:val="single"/>
        </w:rPr>
        <w:t xml:space="preserve"> 不接受 </w:t>
      </w:r>
      <w:r>
        <w:rPr>
          <w:rFonts w:hint="eastAsia" w:ascii="宋体" w:hAnsi="宋体"/>
          <w:sz w:val="24"/>
          <w:szCs w:val="24"/>
        </w:rPr>
        <w:t>联合体投标。</w:t>
      </w:r>
    </w:p>
    <w:p>
      <w:pPr>
        <w:spacing w:line="360" w:lineRule="auto"/>
        <w:contextualSpacing/>
        <w:rPr>
          <w:rFonts w:ascii="宋体" w:hAnsi="宋体"/>
          <w:b/>
          <w:sz w:val="24"/>
          <w:szCs w:val="24"/>
        </w:rPr>
      </w:pPr>
      <w:r>
        <w:rPr>
          <w:rFonts w:hint="eastAsia" w:ascii="宋体" w:hAnsi="宋体"/>
          <w:b/>
          <w:sz w:val="24"/>
          <w:szCs w:val="24"/>
        </w:rPr>
        <w:t>五、投标保证金</w:t>
      </w:r>
    </w:p>
    <w:p>
      <w:pPr>
        <w:snapToGrid w:val="0"/>
        <w:spacing w:line="360" w:lineRule="auto"/>
        <w:ind w:firstLine="480" w:firstLineChars="200"/>
        <w:contextualSpacing/>
        <w:rPr>
          <w:rFonts w:cs="宋体" w:asciiTheme="majorEastAsia" w:hAnsiTheme="majorEastAsia" w:eastAsiaTheme="majorEastAsia"/>
          <w:color w:val="000000" w:themeColor="text1"/>
          <w:sz w:val="24"/>
          <w:szCs w:val="24"/>
        </w:rPr>
      </w:pPr>
      <w:r>
        <w:rPr>
          <w:rFonts w:hint="eastAsia" w:cs="宋体" w:asciiTheme="majorEastAsia" w:hAnsiTheme="majorEastAsia" w:eastAsiaTheme="majorEastAsia"/>
          <w:color w:val="000000" w:themeColor="text1"/>
          <w:sz w:val="24"/>
          <w:szCs w:val="24"/>
        </w:rPr>
        <w:t>（1）保证金数额：人民币</w:t>
      </w:r>
      <w:r>
        <w:rPr>
          <w:rFonts w:hint="eastAsia" w:cs="宋体" w:asciiTheme="majorEastAsia" w:hAnsiTheme="majorEastAsia" w:eastAsiaTheme="majorEastAsia"/>
          <w:color w:val="000000" w:themeColor="text1"/>
          <w:sz w:val="24"/>
          <w:szCs w:val="24"/>
          <w:u w:val="single"/>
        </w:rPr>
        <w:t xml:space="preserve"> 玖仟元整（￥9000.00）</w:t>
      </w:r>
    </w:p>
    <w:p>
      <w:pPr>
        <w:spacing w:line="360" w:lineRule="auto"/>
        <w:ind w:firstLine="480" w:firstLineChars="200"/>
        <w:rPr>
          <w:rFonts w:cs="仿宋" w:asciiTheme="majorEastAsia" w:hAnsiTheme="majorEastAsia" w:eastAsiaTheme="majorEastAsia"/>
          <w:b/>
          <w:sz w:val="24"/>
          <w:szCs w:val="24"/>
        </w:rPr>
      </w:pPr>
      <w:r>
        <w:rPr>
          <w:rFonts w:hint="eastAsia" w:cs="仿宋" w:asciiTheme="majorEastAsia" w:hAnsiTheme="majorEastAsia" w:eastAsiaTheme="majorEastAsia"/>
          <w:sz w:val="24"/>
          <w:szCs w:val="24"/>
        </w:rPr>
        <w:t>（2）保证金以</w:t>
      </w:r>
      <w:r>
        <w:rPr>
          <w:rFonts w:hint="eastAsia" w:cs="仿宋" w:asciiTheme="majorEastAsia" w:hAnsiTheme="majorEastAsia" w:eastAsiaTheme="majorEastAsia"/>
          <w:sz w:val="24"/>
          <w:szCs w:val="24"/>
          <w:u w:val="single"/>
        </w:rPr>
        <w:t xml:space="preserve"> </w:t>
      </w:r>
      <w:r>
        <w:rPr>
          <w:rFonts w:hint="eastAsia" w:cs="仿宋" w:asciiTheme="majorEastAsia" w:hAnsiTheme="majorEastAsia" w:eastAsiaTheme="majorEastAsia"/>
          <w:b/>
          <w:bCs/>
          <w:sz w:val="24"/>
          <w:szCs w:val="24"/>
          <w:u w:val="single"/>
        </w:rPr>
        <w:t>现金</w:t>
      </w:r>
      <w:r>
        <w:rPr>
          <w:rFonts w:hint="eastAsia" w:cs="仿宋" w:asciiTheme="majorEastAsia" w:hAnsiTheme="majorEastAsia" w:eastAsiaTheme="majorEastAsia"/>
          <w:sz w:val="24"/>
          <w:szCs w:val="24"/>
          <w:u w:val="single"/>
        </w:rPr>
        <w:t xml:space="preserve"> </w:t>
      </w:r>
      <w:r>
        <w:rPr>
          <w:rFonts w:hint="eastAsia" w:cs="仿宋" w:asciiTheme="majorEastAsia" w:hAnsiTheme="majorEastAsia" w:eastAsiaTheme="majorEastAsia"/>
          <w:sz w:val="24"/>
          <w:szCs w:val="24"/>
        </w:rPr>
        <w:t>的形式（信封或档案袋密封，标注单位名称）交纳至采购单位或采购代理单位查验。</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（3）未按上述要求提交投标保证金的供应商，采购单位有权拒绝其投标响应文件。</w:t>
      </w:r>
    </w:p>
    <w:p>
      <w:pPr>
        <w:snapToGrid w:val="0"/>
        <w:spacing w:line="360" w:lineRule="auto"/>
        <w:ind w:firstLine="494" w:firstLineChars="206"/>
        <w:rPr>
          <w:rFonts w:cs="仿宋" w:asciiTheme="majorEastAsia" w:hAnsiTheme="majorEastAsia" w:eastAsiaTheme="majorEastAsia"/>
          <w:b/>
          <w:bCs/>
          <w:color w:val="FF0000"/>
          <w:sz w:val="24"/>
          <w:szCs w:val="24"/>
        </w:rPr>
      </w:pPr>
      <w:r>
        <w:rPr>
          <w:rFonts w:hint="eastAsia" w:cs="仿宋" w:asciiTheme="majorEastAsia" w:hAnsiTheme="majorEastAsia" w:eastAsiaTheme="majorEastAsia"/>
          <w:sz w:val="24"/>
          <w:szCs w:val="24"/>
        </w:rPr>
        <w:t>（4）未成交供应商其投标保证金，当场退还。中标人的投标保证金，待双方签订合同生效后5日内无息退还。</w:t>
      </w:r>
    </w:p>
    <w:p>
      <w:pPr>
        <w:spacing w:line="360" w:lineRule="auto"/>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六、履约保证金</w:t>
      </w:r>
    </w:p>
    <w:p>
      <w:pPr>
        <w:pStyle w:val="19"/>
        <w:spacing w:line="360" w:lineRule="auto"/>
        <w:ind w:firstLine="480" w:firstLineChars="200"/>
        <w:contextualSpacing/>
        <w:rPr>
          <w:rFonts w:ascii="宋体" w:hAnsi="宋体" w:eastAsia="宋体"/>
          <w:sz w:val="24"/>
          <w:szCs w:val="24"/>
        </w:rPr>
      </w:pPr>
      <w:r>
        <w:rPr>
          <w:rFonts w:hint="eastAsia" w:cs="仿宋" w:asciiTheme="majorEastAsia" w:hAnsiTheme="majorEastAsia" w:eastAsiaTheme="majorEastAsia"/>
          <w:sz w:val="24"/>
          <w:szCs w:val="24"/>
        </w:rPr>
        <w:t>本项目成交后履约保证金为中标合同价的</w:t>
      </w:r>
      <w:r>
        <w:rPr>
          <w:rFonts w:hint="eastAsia" w:cs="仿宋" w:asciiTheme="majorEastAsia" w:hAnsiTheme="majorEastAsia" w:eastAsiaTheme="majorEastAsia"/>
          <w:sz w:val="24"/>
          <w:szCs w:val="24"/>
          <w:u w:val="single"/>
        </w:rPr>
        <w:t>5%</w:t>
      </w:r>
      <w:r>
        <w:rPr>
          <w:rFonts w:hint="eastAsia" w:cs="仿宋" w:asciiTheme="majorEastAsia" w:hAnsiTheme="majorEastAsia" w:eastAsiaTheme="majorEastAsia"/>
          <w:sz w:val="24"/>
          <w:szCs w:val="24"/>
        </w:rPr>
        <w:t>，</w:t>
      </w:r>
      <w:r>
        <w:rPr>
          <w:rFonts w:hint="eastAsia" w:ascii="宋体" w:hAnsi="宋体" w:eastAsia="宋体"/>
          <w:sz w:val="24"/>
          <w:szCs w:val="24"/>
        </w:rPr>
        <w:t>中标人须在中标通知书发出后7日内交齐履约保证金后根据招标文件的要求签订合同，否则视为自动放弃中标资格，且投标保证金不予退还。</w:t>
      </w:r>
      <w:r>
        <w:rPr>
          <w:rFonts w:ascii="宋体" w:hAnsi="宋体" w:eastAsia="宋体"/>
          <w:sz w:val="24"/>
          <w:szCs w:val="24"/>
        </w:rPr>
        <w:t>履约保证金在项目</w:t>
      </w:r>
      <w:r>
        <w:rPr>
          <w:rFonts w:hint="eastAsia" w:ascii="宋体" w:hAnsi="宋体" w:eastAsia="宋体"/>
          <w:sz w:val="24"/>
          <w:szCs w:val="24"/>
        </w:rPr>
        <w:t>服务期满后</w:t>
      </w:r>
      <w:r>
        <w:rPr>
          <w:rFonts w:ascii="宋体" w:hAnsi="宋体" w:eastAsia="宋体"/>
          <w:sz w:val="24"/>
          <w:szCs w:val="24"/>
        </w:rPr>
        <w:t>按实际履约情况退还（无息）。</w:t>
      </w:r>
    </w:p>
    <w:p>
      <w:pPr>
        <w:snapToGrid w:val="0"/>
        <w:spacing w:line="360" w:lineRule="auto"/>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七、项目涉及到的现场勘察</w:t>
      </w:r>
    </w:p>
    <w:p>
      <w:pPr>
        <w:snapToGrid w:val="0"/>
        <w:spacing w:line="42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凡有意参与本项目投标响应的供应商，自本项目公告发布之日，应自行前往项目现场勘查情况。供应商承担勘查现场的所有责任和费用；中标后不得以不了解项目现场实际情况为由，要求采购人增加服务费用。</w:t>
      </w:r>
    </w:p>
    <w:p>
      <w:pPr>
        <w:pStyle w:val="2"/>
      </w:pPr>
    </w:p>
    <w:p>
      <w:pPr>
        <w:snapToGrid w:val="0"/>
        <w:spacing w:line="360" w:lineRule="auto"/>
        <w:ind w:firstLine="472" w:firstLineChars="196"/>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 xml:space="preserve">现场勘查联系人：范先生            联系方式：13814605166   </w:t>
      </w:r>
    </w:p>
    <w:p>
      <w:pPr>
        <w:snapToGrid w:val="0"/>
        <w:spacing w:line="360" w:lineRule="auto"/>
        <w:ind w:firstLine="482" w:firstLineChars="200"/>
        <w:rPr>
          <w:rFonts w:cs="仿宋" w:asciiTheme="majorEastAsia" w:hAnsiTheme="majorEastAsia" w:eastAsiaTheme="majorEastAsia"/>
          <w:b/>
          <w:sz w:val="24"/>
          <w:szCs w:val="24"/>
        </w:rPr>
      </w:pPr>
      <w:r>
        <w:rPr>
          <w:rFonts w:hint="eastAsia" w:cs="仿宋" w:asciiTheme="majorEastAsia" w:hAnsiTheme="majorEastAsia" w:eastAsiaTheme="majorEastAsia"/>
          <w:b/>
          <w:sz w:val="24"/>
          <w:szCs w:val="24"/>
        </w:rPr>
        <w:t>勘查时间：从发布之日至投标前1日的9：00—15：00（含项目需求答疑）。</w:t>
      </w:r>
    </w:p>
    <w:p>
      <w:pPr>
        <w:spacing w:line="360" w:lineRule="auto"/>
        <w:contextualSpacing/>
        <w:rPr>
          <w:rFonts w:ascii="宋体" w:hAnsi="宋体" w:cs="宋体"/>
          <w:b/>
          <w:sz w:val="24"/>
          <w:szCs w:val="24"/>
        </w:rPr>
      </w:pPr>
      <w:r>
        <w:rPr>
          <w:rFonts w:hint="eastAsia" w:ascii="宋体" w:hAnsi="宋体" w:cs="宋体"/>
          <w:b/>
          <w:sz w:val="24"/>
          <w:szCs w:val="24"/>
        </w:rPr>
        <w:t>八、</w:t>
      </w:r>
      <w:bookmarkStart w:id="12" w:name="_Toc389065126"/>
      <w:r>
        <w:rPr>
          <w:rFonts w:hint="eastAsia" w:ascii="宋体" w:hAnsi="宋体" w:cs="宋体"/>
          <w:b/>
          <w:sz w:val="24"/>
          <w:szCs w:val="24"/>
        </w:rPr>
        <w:t>招标文件的获取</w:t>
      </w:r>
      <w:bookmarkEnd w:id="12"/>
    </w:p>
    <w:p>
      <w:pPr>
        <w:shd w:val="clear" w:color="auto" w:fill="FFFFFF"/>
        <w:spacing w:line="360" w:lineRule="auto"/>
        <w:ind w:firstLine="480" w:firstLineChars="200"/>
        <w:rPr>
          <w:rFonts w:cs="宋体" w:asciiTheme="majorEastAsia" w:hAnsiTheme="majorEastAsia" w:eastAsiaTheme="majorEastAsia"/>
          <w:color w:val="000000" w:themeColor="text1"/>
          <w:kern w:val="0"/>
          <w:sz w:val="24"/>
          <w:szCs w:val="22"/>
        </w:rPr>
      </w:pPr>
      <w:r>
        <w:rPr>
          <w:rFonts w:hint="eastAsia" w:cs="宋体" w:asciiTheme="majorEastAsia" w:hAnsiTheme="majorEastAsia" w:eastAsiaTheme="majorEastAsia"/>
          <w:color w:val="000000" w:themeColor="text1"/>
          <w:kern w:val="0"/>
          <w:sz w:val="24"/>
          <w:szCs w:val="24"/>
        </w:rPr>
        <w:t>南通汽运实业集团有限公司网站（</w:t>
      </w:r>
      <w:r>
        <w:fldChar w:fldCharType="begin"/>
      </w:r>
      <w:r>
        <w:instrText xml:space="preserve"> HYPERLINK "http://www.ntqyjt.com.cn/" </w:instrText>
      </w:r>
      <w:r>
        <w:fldChar w:fldCharType="separate"/>
      </w:r>
      <w:r>
        <w:rPr>
          <w:rFonts w:cs="宋体" w:asciiTheme="majorEastAsia" w:hAnsiTheme="majorEastAsia" w:eastAsiaTheme="majorEastAsia"/>
          <w:color w:val="0000FF"/>
          <w:kern w:val="0"/>
          <w:sz w:val="24"/>
          <w:u w:val="single"/>
        </w:rPr>
        <w:t>http://www.ntqyjt.com.cn/</w:t>
      </w:r>
      <w:r>
        <w:rPr>
          <w:rFonts w:cs="宋体" w:asciiTheme="majorEastAsia" w:hAnsiTheme="majorEastAsia" w:eastAsiaTheme="majorEastAsia"/>
          <w:color w:val="0000FF"/>
          <w:kern w:val="0"/>
          <w:sz w:val="24"/>
          <w:u w:val="single"/>
        </w:rPr>
        <w:fldChar w:fldCharType="end"/>
      </w:r>
      <w:r>
        <w:rPr>
          <w:rFonts w:hint="eastAsia" w:cs="宋体" w:asciiTheme="majorEastAsia" w:hAnsiTheme="majorEastAsia" w:eastAsiaTheme="majorEastAsia"/>
          <w:color w:val="000000" w:themeColor="text1"/>
          <w:kern w:val="0"/>
          <w:sz w:val="24"/>
          <w:szCs w:val="24"/>
        </w:rPr>
        <w:t>）-公众服务-招标公告栏</w:t>
      </w:r>
      <w:r>
        <w:rPr>
          <w:rFonts w:cs="宋体" w:asciiTheme="majorEastAsia" w:hAnsiTheme="majorEastAsia" w:eastAsiaTheme="majorEastAsia"/>
          <w:color w:val="000000" w:themeColor="text1"/>
          <w:kern w:val="0"/>
          <w:sz w:val="24"/>
          <w:szCs w:val="24"/>
        </w:rPr>
        <w:t>和</w:t>
      </w:r>
      <w:r>
        <w:rPr>
          <w:rFonts w:hint="eastAsia" w:cs="宋体" w:asciiTheme="majorEastAsia" w:hAnsiTheme="majorEastAsia" w:eastAsiaTheme="majorEastAsia"/>
          <w:color w:val="000000" w:themeColor="text1"/>
          <w:kern w:val="0"/>
          <w:sz w:val="24"/>
          <w:szCs w:val="24"/>
        </w:rPr>
        <w:t>南通农副产品物流有限公司网站（</w:t>
      </w:r>
      <w:r>
        <w:rPr>
          <w:rFonts w:cs="宋体" w:asciiTheme="majorEastAsia" w:hAnsiTheme="majorEastAsia" w:eastAsiaTheme="majorEastAsia"/>
          <w:color w:val="000000" w:themeColor="text1"/>
          <w:kern w:val="0"/>
          <w:sz w:val="24"/>
          <w:szCs w:val="24"/>
        </w:rPr>
        <w:t>http://www.ntnfcp.com/</w:t>
      </w:r>
      <w:r>
        <w:rPr>
          <w:rFonts w:hint="eastAsia" w:cs="宋体" w:asciiTheme="majorEastAsia" w:hAnsiTheme="majorEastAsia" w:eastAsiaTheme="majorEastAsia"/>
          <w:color w:val="000000" w:themeColor="text1"/>
          <w:kern w:val="0"/>
          <w:sz w:val="24"/>
          <w:szCs w:val="24"/>
        </w:rPr>
        <w:t>）-首页-通知公告栏，各供应商自行上网查询、下载。获取时间由发布招标公告的同时开始，到提交投标文件截止时结束，请各供应商自行关注，否则，引起的后果由供应商自行承担。</w:t>
      </w:r>
      <w:r>
        <w:rPr>
          <w:rFonts w:hint="eastAsia" w:cs="宋体" w:asciiTheme="majorEastAsia" w:hAnsiTheme="majorEastAsia" w:eastAsiaTheme="majorEastAsia"/>
          <w:color w:val="000000" w:themeColor="text1"/>
          <w:kern w:val="0"/>
          <w:sz w:val="24"/>
          <w:szCs w:val="22"/>
        </w:rPr>
        <w:t>采购文件</w:t>
      </w:r>
      <w:r>
        <w:rPr>
          <w:rFonts w:hint="eastAsia" w:asciiTheme="majorEastAsia" w:hAnsiTheme="majorEastAsia" w:eastAsiaTheme="majorEastAsia" w:cstheme="minorBidi"/>
          <w:color w:val="000000" w:themeColor="text1"/>
          <w:kern w:val="0"/>
          <w:sz w:val="24"/>
          <w:szCs w:val="22"/>
        </w:rPr>
        <w:t>资料费每套叁佰元（￥300.00），递交响应文件时现场支付，无论是否中标，资料费概不退还。</w:t>
      </w:r>
    </w:p>
    <w:p>
      <w:pPr>
        <w:spacing w:line="360" w:lineRule="auto"/>
        <w:contextualSpacing/>
        <w:rPr>
          <w:rFonts w:ascii="宋体" w:hAnsi="宋体" w:cs="宋体"/>
          <w:b/>
          <w:sz w:val="24"/>
          <w:szCs w:val="24"/>
        </w:rPr>
      </w:pPr>
      <w:r>
        <w:rPr>
          <w:rFonts w:hint="eastAsia" w:ascii="宋体" w:hAnsi="宋体"/>
          <w:b/>
          <w:sz w:val="24"/>
          <w:szCs w:val="24"/>
          <w:lang w:val="zh-CN"/>
        </w:rPr>
        <w:t>九、</w:t>
      </w:r>
      <w:r>
        <w:rPr>
          <w:rFonts w:hint="eastAsia" w:ascii="宋体" w:hAnsi="宋体" w:cs="宋体"/>
          <w:b/>
          <w:sz w:val="24"/>
          <w:szCs w:val="24"/>
        </w:rPr>
        <w:t>投标截止时间及开标时间</w:t>
      </w:r>
    </w:p>
    <w:p>
      <w:pPr>
        <w:spacing w:line="360" w:lineRule="auto"/>
        <w:ind w:firstLine="480" w:firstLineChars="200"/>
        <w:contextualSpacing/>
        <w:rPr>
          <w:rFonts w:ascii="宋体" w:hAnsi="宋体"/>
          <w:sz w:val="24"/>
          <w:szCs w:val="24"/>
        </w:rPr>
      </w:pPr>
      <w:r>
        <w:rPr>
          <w:rFonts w:hint="eastAsia" w:ascii="宋体" w:hAnsi="宋体"/>
          <w:sz w:val="24"/>
          <w:szCs w:val="24"/>
        </w:rPr>
        <w:t>9.1 投标截止时间为 ：</w:t>
      </w:r>
      <w:r>
        <w:rPr>
          <w:rFonts w:hint="eastAsia" w:ascii="宋体" w:hAnsi="宋体"/>
          <w:color w:val="FF0000"/>
          <w:sz w:val="24"/>
          <w:szCs w:val="24"/>
          <w:u w:val="single"/>
        </w:rPr>
        <w:t>2020</w:t>
      </w:r>
      <w:r>
        <w:rPr>
          <w:rFonts w:hint="eastAsia" w:ascii="宋体" w:hAnsi="宋体"/>
          <w:color w:val="FF0000"/>
          <w:sz w:val="24"/>
          <w:szCs w:val="24"/>
        </w:rPr>
        <w:t>年</w:t>
      </w:r>
      <w:r>
        <w:rPr>
          <w:rFonts w:hint="eastAsia" w:ascii="宋体" w:hAnsi="宋体"/>
          <w:color w:val="FF0000"/>
          <w:sz w:val="24"/>
          <w:szCs w:val="24"/>
          <w:u w:val="single"/>
        </w:rPr>
        <w:t xml:space="preserve"> 7 </w:t>
      </w:r>
      <w:r>
        <w:rPr>
          <w:rFonts w:hint="eastAsia" w:ascii="宋体" w:hAnsi="宋体"/>
          <w:color w:val="FF0000"/>
          <w:sz w:val="24"/>
          <w:szCs w:val="24"/>
        </w:rPr>
        <w:t>月</w:t>
      </w:r>
      <w:r>
        <w:rPr>
          <w:rFonts w:hint="eastAsia" w:ascii="宋体" w:hAnsi="宋体"/>
          <w:color w:val="FF0000"/>
          <w:sz w:val="24"/>
          <w:szCs w:val="24"/>
          <w:u w:val="single"/>
        </w:rPr>
        <w:t xml:space="preserve"> 29 </w:t>
      </w:r>
      <w:r>
        <w:rPr>
          <w:rFonts w:hint="eastAsia" w:ascii="宋体" w:hAnsi="宋体"/>
          <w:color w:val="FF0000"/>
          <w:sz w:val="24"/>
          <w:szCs w:val="24"/>
        </w:rPr>
        <w:t>日</w:t>
      </w:r>
      <w:r>
        <w:rPr>
          <w:rFonts w:hint="eastAsia" w:ascii="宋体" w:hAnsi="宋体"/>
          <w:color w:val="FF0000"/>
          <w:sz w:val="24"/>
          <w:szCs w:val="24"/>
          <w:u w:val="single"/>
        </w:rPr>
        <w:t xml:space="preserve"> 9 </w:t>
      </w:r>
      <w:r>
        <w:rPr>
          <w:rFonts w:hint="eastAsia" w:ascii="宋体" w:hAnsi="宋体"/>
          <w:color w:val="FF0000"/>
          <w:sz w:val="24"/>
          <w:szCs w:val="24"/>
        </w:rPr>
        <w:t>时</w:t>
      </w:r>
      <w:r>
        <w:rPr>
          <w:rFonts w:hint="eastAsia" w:ascii="宋体" w:hAnsi="宋体"/>
          <w:color w:val="FF0000"/>
          <w:sz w:val="24"/>
          <w:szCs w:val="24"/>
          <w:u w:val="single"/>
        </w:rPr>
        <w:t>30</w:t>
      </w:r>
      <w:r>
        <w:rPr>
          <w:rFonts w:hint="eastAsia" w:ascii="宋体" w:hAnsi="宋体"/>
          <w:color w:val="FF0000"/>
          <w:sz w:val="24"/>
          <w:szCs w:val="24"/>
        </w:rPr>
        <w:t>分。</w:t>
      </w:r>
    </w:p>
    <w:p>
      <w:pPr>
        <w:spacing w:line="360" w:lineRule="auto"/>
        <w:ind w:firstLine="480" w:firstLineChars="200"/>
        <w:contextualSpacing/>
        <w:rPr>
          <w:rFonts w:ascii="宋体" w:hAnsi="宋体"/>
          <w:sz w:val="24"/>
          <w:szCs w:val="24"/>
        </w:rPr>
      </w:pPr>
      <w:r>
        <w:rPr>
          <w:rFonts w:hint="eastAsia" w:ascii="宋体" w:hAnsi="宋体"/>
          <w:sz w:val="24"/>
          <w:szCs w:val="24"/>
        </w:rPr>
        <w:t>9.2文本投标文件递交地点为：</w:t>
      </w:r>
      <w:r>
        <w:rPr>
          <w:rFonts w:hint="eastAsia" w:ascii="宋体" w:hAnsi="宋体"/>
          <w:sz w:val="24"/>
          <w:szCs w:val="24"/>
          <w:u w:val="single"/>
        </w:rPr>
        <w:t>南通农副产品物流有限公司展销楼五楼会议室，崇川区崇川路777号（来客商务宾馆楼上）</w:t>
      </w:r>
      <w:r>
        <w:rPr>
          <w:rFonts w:hint="eastAsia" w:ascii="宋体" w:hAnsi="宋体"/>
          <w:sz w:val="24"/>
          <w:szCs w:val="24"/>
        </w:rPr>
        <w:t>。逾期送达或者未送达指定地点的投标文件，采购人不予受理。</w:t>
      </w:r>
    </w:p>
    <w:p>
      <w:pPr>
        <w:spacing w:line="360" w:lineRule="auto"/>
        <w:ind w:firstLine="482" w:firstLineChars="200"/>
        <w:contextualSpacing/>
        <w:rPr>
          <w:rFonts w:ascii="宋体" w:hAnsi="宋体"/>
          <w:b/>
          <w:bCs/>
          <w:sz w:val="24"/>
          <w:szCs w:val="24"/>
        </w:rPr>
      </w:pPr>
      <w:r>
        <w:rPr>
          <w:rFonts w:hint="eastAsia" w:ascii="宋体" w:hAnsi="宋体"/>
          <w:b/>
          <w:sz w:val="24"/>
          <w:szCs w:val="24"/>
        </w:rPr>
        <w:t>9.3</w:t>
      </w:r>
      <w:r>
        <w:rPr>
          <w:rFonts w:hint="eastAsia" w:ascii="宋体" w:hAnsi="宋体"/>
          <w:b/>
          <w:bCs/>
          <w:sz w:val="24"/>
          <w:szCs w:val="24"/>
        </w:rPr>
        <w:t>供应商在递交投标文件时，授权委托人当场出示授权委托书原件及本人二代身份证原件（如为法定代表人参加投标，当场出示法定代表人身份证明原件及本人二代身份证原件），授权委托书原件或法定代表人身份证明原件需单独提供一份，无须密封，直接带至开标现场供招标代理核查。请各授权委托人（或法定代表人）准时参加开标会，否则，其投标文件不予接受。</w:t>
      </w:r>
    </w:p>
    <w:p>
      <w:pPr>
        <w:spacing w:line="360" w:lineRule="auto"/>
        <w:ind w:firstLine="482" w:firstLineChars="200"/>
        <w:contextualSpacing/>
        <w:rPr>
          <w:rFonts w:ascii="宋体" w:hAnsi="宋体"/>
          <w:color w:val="FF0000"/>
          <w:sz w:val="24"/>
          <w:szCs w:val="24"/>
        </w:rPr>
      </w:pPr>
      <w:r>
        <w:rPr>
          <w:rFonts w:hint="eastAsia" w:ascii="宋体" w:hAnsi="宋体"/>
          <w:b/>
          <w:bCs/>
          <w:sz w:val="24"/>
          <w:szCs w:val="24"/>
        </w:rPr>
        <w:t>9.4开标时间：</w:t>
      </w:r>
      <w:r>
        <w:rPr>
          <w:rFonts w:hint="eastAsia" w:ascii="宋体" w:hAnsi="宋体"/>
          <w:color w:val="FF0000"/>
          <w:sz w:val="24"/>
          <w:szCs w:val="24"/>
          <w:u w:val="single"/>
        </w:rPr>
        <w:t>2020</w:t>
      </w:r>
      <w:r>
        <w:rPr>
          <w:rFonts w:hint="eastAsia" w:ascii="宋体" w:hAnsi="宋体"/>
          <w:color w:val="FF0000"/>
          <w:sz w:val="24"/>
          <w:szCs w:val="24"/>
        </w:rPr>
        <w:t>年</w:t>
      </w:r>
      <w:r>
        <w:rPr>
          <w:rFonts w:hint="eastAsia" w:ascii="宋体" w:hAnsi="宋体"/>
          <w:color w:val="FF0000"/>
          <w:sz w:val="24"/>
          <w:szCs w:val="24"/>
          <w:u w:val="single"/>
        </w:rPr>
        <w:t xml:space="preserve"> 7 </w:t>
      </w:r>
      <w:r>
        <w:rPr>
          <w:rFonts w:hint="eastAsia" w:ascii="宋体" w:hAnsi="宋体"/>
          <w:color w:val="FF0000"/>
          <w:sz w:val="24"/>
          <w:szCs w:val="24"/>
        </w:rPr>
        <w:t>月</w:t>
      </w:r>
      <w:r>
        <w:rPr>
          <w:rFonts w:hint="eastAsia" w:ascii="宋体" w:hAnsi="宋体"/>
          <w:color w:val="FF0000"/>
          <w:sz w:val="24"/>
          <w:szCs w:val="24"/>
          <w:u w:val="single"/>
        </w:rPr>
        <w:t xml:space="preserve"> 29 </w:t>
      </w:r>
      <w:r>
        <w:rPr>
          <w:rFonts w:hint="eastAsia" w:ascii="宋体" w:hAnsi="宋体"/>
          <w:color w:val="FF0000"/>
          <w:sz w:val="24"/>
          <w:szCs w:val="24"/>
        </w:rPr>
        <w:t>日</w:t>
      </w:r>
      <w:r>
        <w:rPr>
          <w:rFonts w:hint="eastAsia" w:ascii="宋体" w:hAnsi="宋体"/>
          <w:color w:val="FF0000"/>
          <w:sz w:val="24"/>
          <w:szCs w:val="24"/>
          <w:u w:val="single"/>
        </w:rPr>
        <w:t xml:space="preserve"> 9</w:t>
      </w:r>
      <w:r>
        <w:rPr>
          <w:rFonts w:hint="eastAsia" w:ascii="宋体" w:hAnsi="宋体"/>
          <w:color w:val="FF0000"/>
          <w:sz w:val="24"/>
          <w:szCs w:val="24"/>
        </w:rPr>
        <w:t>时</w:t>
      </w:r>
      <w:r>
        <w:rPr>
          <w:rFonts w:hint="eastAsia" w:ascii="宋体" w:hAnsi="宋体"/>
          <w:color w:val="FF0000"/>
          <w:sz w:val="24"/>
          <w:szCs w:val="24"/>
          <w:u w:val="single"/>
        </w:rPr>
        <w:t>30</w:t>
      </w:r>
      <w:r>
        <w:rPr>
          <w:rFonts w:hint="eastAsia" w:ascii="宋体" w:hAnsi="宋体"/>
          <w:color w:val="FF0000"/>
          <w:sz w:val="24"/>
          <w:szCs w:val="24"/>
        </w:rPr>
        <w:t>分。</w:t>
      </w:r>
    </w:p>
    <w:p>
      <w:pPr>
        <w:spacing w:line="360" w:lineRule="auto"/>
        <w:ind w:firstLine="482" w:firstLineChars="200"/>
        <w:contextualSpacing/>
        <w:rPr>
          <w:rFonts w:ascii="宋体" w:hAnsi="宋体"/>
          <w:b/>
          <w:bCs/>
          <w:sz w:val="24"/>
          <w:szCs w:val="24"/>
        </w:rPr>
      </w:pPr>
      <w:r>
        <w:rPr>
          <w:rFonts w:hint="eastAsia" w:ascii="宋体" w:hAnsi="宋体"/>
          <w:b/>
          <w:bCs/>
          <w:sz w:val="24"/>
          <w:szCs w:val="24"/>
        </w:rPr>
        <w:t>9.5开标地点：</w:t>
      </w:r>
      <w:r>
        <w:rPr>
          <w:rFonts w:hint="eastAsia" w:ascii="宋体" w:hAnsi="宋体"/>
          <w:sz w:val="24"/>
          <w:szCs w:val="24"/>
          <w:u w:val="single"/>
        </w:rPr>
        <w:t>南通农副产品物流有限公司展销楼五楼会议室，崇川区崇川路777号（来客商务宾馆楼上）</w:t>
      </w:r>
    </w:p>
    <w:p>
      <w:pPr>
        <w:spacing w:line="360" w:lineRule="auto"/>
        <w:contextualSpacing/>
        <w:rPr>
          <w:rFonts w:ascii="宋体" w:hAnsi="宋体"/>
          <w:b/>
          <w:sz w:val="24"/>
          <w:szCs w:val="24"/>
          <w:lang w:val="zh-CN"/>
        </w:rPr>
      </w:pPr>
      <w:r>
        <w:rPr>
          <w:rFonts w:hint="eastAsia" w:ascii="宋体" w:hAnsi="宋体"/>
          <w:b/>
          <w:sz w:val="24"/>
          <w:szCs w:val="24"/>
          <w:lang w:val="zh-CN"/>
        </w:rPr>
        <w:t>十、资格审查</w:t>
      </w:r>
    </w:p>
    <w:p>
      <w:pPr>
        <w:topLinePunct/>
        <w:adjustRightInd w:val="0"/>
        <w:snapToGrid w:val="0"/>
        <w:spacing w:line="360" w:lineRule="auto"/>
        <w:ind w:firstLine="484" w:firstLineChars="202"/>
        <w:rPr>
          <w:rFonts w:ascii="宋体" w:hAnsi="宋体" w:cs="宋体"/>
          <w:sz w:val="24"/>
        </w:rPr>
      </w:pPr>
      <w:r>
        <w:rPr>
          <w:rFonts w:hint="eastAsia" w:ascii="宋体" w:hAnsi="宋体" w:cs="宋体"/>
          <w:sz w:val="24"/>
        </w:rPr>
        <w:t xml:space="preserve">本次招标采用资格后审方式进行资格审查，资格评审标准详见招标文件第五章。   </w:t>
      </w:r>
    </w:p>
    <w:p>
      <w:pPr>
        <w:spacing w:line="360" w:lineRule="auto"/>
        <w:contextualSpacing/>
        <w:rPr>
          <w:rFonts w:ascii="宋体" w:hAnsi="宋体"/>
          <w:b/>
          <w:sz w:val="24"/>
          <w:szCs w:val="24"/>
          <w:lang w:val="zh-CN"/>
        </w:rPr>
      </w:pPr>
      <w:bookmarkStart w:id="13" w:name="_Toc3205055"/>
      <w:r>
        <w:rPr>
          <w:rFonts w:hint="eastAsia" w:ascii="宋体" w:hAnsi="宋体"/>
          <w:b/>
          <w:sz w:val="24"/>
          <w:szCs w:val="24"/>
          <w:lang w:val="zh-CN"/>
        </w:rPr>
        <w:t>十一、 评标方法</w:t>
      </w:r>
      <w:bookmarkEnd w:id="13"/>
    </w:p>
    <w:p>
      <w:pPr>
        <w:adjustRightInd w:val="0"/>
        <w:snapToGrid w:val="0"/>
        <w:spacing w:line="360" w:lineRule="auto"/>
        <w:ind w:firstLine="480" w:firstLineChars="200"/>
        <w:rPr>
          <w:rFonts w:ascii="宋体" w:hAnsi="宋体" w:cs="宋体"/>
          <w:sz w:val="24"/>
        </w:rPr>
      </w:pPr>
      <w:r>
        <w:rPr>
          <w:rFonts w:hint="eastAsia" w:ascii="宋体" w:hAnsi="宋体" w:cs="宋体"/>
          <w:sz w:val="24"/>
        </w:rPr>
        <w:t>本次招标采用</w:t>
      </w:r>
      <w:r>
        <w:rPr>
          <w:rFonts w:hint="eastAsia" w:ascii="宋体" w:hAnsi="宋体" w:cs="宋体"/>
          <w:sz w:val="24"/>
          <w:u w:val="single"/>
        </w:rPr>
        <w:t xml:space="preserve">  </w:t>
      </w:r>
      <w:r>
        <w:rPr>
          <w:rFonts w:ascii="Wingdings 2" w:hAnsi="Wingdings 2" w:cs="宋体"/>
          <w:sz w:val="24"/>
          <w:u w:val="single"/>
        </w:rPr>
        <w:t></w:t>
      </w:r>
      <w:r>
        <w:rPr>
          <w:rFonts w:hint="eastAsia" w:ascii="宋体" w:hAnsi="宋体" w:cs="宋体"/>
          <w:sz w:val="24"/>
          <w:u w:val="single"/>
        </w:rPr>
        <w:t>综合评估法</w:t>
      </w:r>
      <w:r>
        <w:rPr>
          <w:rFonts w:hint="eastAsia" w:ascii="宋体" w:hAnsi="宋体" w:cs="宋体"/>
          <w:sz w:val="24"/>
        </w:rPr>
        <w:t>，评标标准和方法详见招标文件第二章。</w:t>
      </w:r>
    </w:p>
    <w:p>
      <w:pPr>
        <w:spacing w:line="360" w:lineRule="auto"/>
        <w:contextualSpacing/>
        <w:rPr>
          <w:rFonts w:ascii="宋体" w:hAnsi="宋体"/>
          <w:b/>
          <w:sz w:val="24"/>
          <w:szCs w:val="24"/>
        </w:rPr>
      </w:pPr>
      <w:r>
        <w:rPr>
          <w:rFonts w:hint="eastAsia" w:ascii="宋体" w:hAnsi="宋体"/>
          <w:b/>
          <w:sz w:val="24"/>
          <w:szCs w:val="24"/>
        </w:rPr>
        <w:t>十二、招标项目联系事项</w:t>
      </w:r>
    </w:p>
    <w:p>
      <w:pPr>
        <w:spacing w:line="360" w:lineRule="auto"/>
        <w:ind w:firstLine="480" w:firstLineChars="200"/>
        <w:contextualSpacing/>
        <w:rPr>
          <w:rFonts w:ascii="宋体" w:hAnsi="宋体"/>
          <w:sz w:val="24"/>
          <w:szCs w:val="24"/>
        </w:rPr>
      </w:pPr>
      <w:r>
        <w:rPr>
          <w:rFonts w:hint="eastAsia" w:ascii="宋体" w:hAnsi="宋体"/>
          <w:sz w:val="24"/>
          <w:szCs w:val="24"/>
        </w:rPr>
        <w:t>（一）</w:t>
      </w:r>
      <w:r>
        <w:rPr>
          <w:rFonts w:hint="eastAsia" w:asciiTheme="majorEastAsia" w:hAnsiTheme="majorEastAsia" w:eastAsiaTheme="majorEastAsia"/>
          <w:color w:val="000000" w:themeColor="text1"/>
          <w:sz w:val="24"/>
        </w:rPr>
        <w:t>采购人：</w:t>
      </w:r>
      <w:r>
        <w:rPr>
          <w:rFonts w:hint="eastAsia" w:cs="宋体" w:asciiTheme="majorEastAsia" w:hAnsiTheme="majorEastAsia" w:eastAsiaTheme="majorEastAsia"/>
          <w:color w:val="000000" w:themeColor="text1"/>
          <w:sz w:val="24"/>
          <w:szCs w:val="24"/>
        </w:rPr>
        <w:t>南通农副产品物流有限公司</w:t>
      </w:r>
    </w:p>
    <w:p>
      <w:pPr>
        <w:spacing w:line="360" w:lineRule="auto"/>
        <w:ind w:firstLine="960" w:firstLineChars="400"/>
        <w:contextualSpacing/>
        <w:rPr>
          <w:rFonts w:ascii="宋体" w:hAnsi="宋体"/>
          <w:sz w:val="24"/>
          <w:szCs w:val="24"/>
        </w:rPr>
      </w:pPr>
      <w:r>
        <w:rPr>
          <w:rFonts w:hint="eastAsia" w:ascii="宋体" w:hAnsi="宋体"/>
          <w:sz w:val="24"/>
          <w:szCs w:val="24"/>
        </w:rPr>
        <w:t>联系人：</w:t>
      </w:r>
      <w:r>
        <w:rPr>
          <w:rFonts w:hint="eastAsia" w:ascii="宋体" w:hAnsi="宋体"/>
          <w:sz w:val="24"/>
          <w:szCs w:val="24"/>
          <w:u w:val="single"/>
        </w:rPr>
        <w:t xml:space="preserve"> 范先生  </w:t>
      </w:r>
      <w:r>
        <w:rPr>
          <w:rFonts w:hint="eastAsia" w:ascii="宋体" w:hAnsi="宋体"/>
          <w:sz w:val="24"/>
          <w:szCs w:val="24"/>
        </w:rPr>
        <w:t>，联系电话</w:t>
      </w:r>
      <w:r>
        <w:rPr>
          <w:rFonts w:hint="eastAsia" w:ascii="宋体" w:hAnsi="宋体" w:cs="宋体"/>
          <w:sz w:val="24"/>
          <w:szCs w:val="24"/>
        </w:rPr>
        <w:t>：</w:t>
      </w:r>
      <w:r>
        <w:rPr>
          <w:rFonts w:hint="eastAsia" w:ascii="宋体" w:hAnsi="宋体" w:cs="宋体"/>
          <w:sz w:val="24"/>
          <w:szCs w:val="24"/>
          <w:u w:val="single"/>
        </w:rPr>
        <w:t xml:space="preserve"> 0513-55083610  </w:t>
      </w:r>
      <w:r>
        <w:rPr>
          <w:rFonts w:hint="eastAsia" w:ascii="宋体" w:hAnsi="宋体"/>
          <w:sz w:val="24"/>
          <w:szCs w:val="24"/>
        </w:rPr>
        <w:t>；</w:t>
      </w:r>
    </w:p>
    <w:p>
      <w:pPr>
        <w:spacing w:line="360" w:lineRule="auto"/>
        <w:ind w:firstLine="960" w:firstLineChars="400"/>
        <w:rPr>
          <w:rFonts w:cs="仿宋" w:asciiTheme="majorEastAsia" w:hAnsiTheme="majorEastAsia" w:eastAsiaTheme="majorEastAsia"/>
          <w:sz w:val="24"/>
          <w:szCs w:val="24"/>
        </w:rPr>
      </w:pPr>
      <w:r>
        <w:rPr>
          <w:rFonts w:hint="eastAsia"/>
          <w:sz w:val="24"/>
          <w:szCs w:val="24"/>
        </w:rPr>
        <w:t>监督人：</w:t>
      </w:r>
      <w:r>
        <w:rPr>
          <w:rFonts w:hint="eastAsia"/>
          <w:sz w:val="24"/>
          <w:szCs w:val="24"/>
          <w:u w:val="single"/>
        </w:rPr>
        <w:t xml:space="preserve"> </w:t>
      </w:r>
      <w:r>
        <w:rPr>
          <w:rFonts w:hint="eastAsia" w:cs="仿宋" w:asciiTheme="majorEastAsia" w:hAnsiTheme="majorEastAsia" w:eastAsiaTheme="majorEastAsia"/>
          <w:sz w:val="24"/>
          <w:szCs w:val="24"/>
          <w:u w:val="single"/>
        </w:rPr>
        <w:t xml:space="preserve">张女士  </w:t>
      </w:r>
      <w:r>
        <w:rPr>
          <w:rFonts w:hint="eastAsia" w:cs="仿宋" w:asciiTheme="majorEastAsia" w:hAnsiTheme="majorEastAsia" w:eastAsiaTheme="majorEastAsia"/>
          <w:sz w:val="24"/>
          <w:szCs w:val="24"/>
        </w:rPr>
        <w:t>，联系电话：</w:t>
      </w:r>
      <w:r>
        <w:rPr>
          <w:rFonts w:hint="eastAsia" w:cs="仿宋" w:asciiTheme="majorEastAsia" w:hAnsiTheme="majorEastAsia" w:eastAsiaTheme="majorEastAsia"/>
          <w:sz w:val="24"/>
          <w:szCs w:val="24"/>
          <w:u w:val="single"/>
        </w:rPr>
        <w:t xml:space="preserve"> 0513-51088082  </w:t>
      </w:r>
      <w:r>
        <w:rPr>
          <w:rFonts w:hint="eastAsia" w:cs="仿宋" w:asciiTheme="majorEastAsia" w:hAnsiTheme="majorEastAsia" w:eastAsiaTheme="majorEastAsia"/>
          <w:sz w:val="24"/>
          <w:szCs w:val="24"/>
        </w:rPr>
        <w:t>；</w:t>
      </w:r>
    </w:p>
    <w:p>
      <w:pPr>
        <w:numPr>
          <w:ilvl w:val="0"/>
          <w:numId w:val="2"/>
        </w:numPr>
        <w:spacing w:line="360" w:lineRule="auto"/>
        <w:ind w:firstLine="480" w:firstLineChars="200"/>
        <w:contextualSpacing/>
        <w:rPr>
          <w:rFonts w:ascii="宋体" w:hAnsi="宋体"/>
          <w:sz w:val="24"/>
          <w:szCs w:val="24"/>
        </w:rPr>
      </w:pPr>
      <w:r>
        <w:rPr>
          <w:rFonts w:hint="eastAsia" w:ascii="宋体" w:hAnsi="宋体"/>
          <w:sz w:val="24"/>
          <w:szCs w:val="24"/>
        </w:rPr>
        <w:t xml:space="preserve">招标代理机构: </w:t>
      </w:r>
      <w:r>
        <w:rPr>
          <w:rFonts w:hint="eastAsia" w:ascii="宋体" w:hAnsi="宋体"/>
          <w:sz w:val="24"/>
          <w:szCs w:val="24"/>
          <w:u w:val="single"/>
        </w:rPr>
        <w:t xml:space="preserve"> 南通通城建设工程项目管理有限公司 </w:t>
      </w:r>
      <w:r>
        <w:rPr>
          <w:rFonts w:hint="eastAsia" w:ascii="宋体" w:hAnsi="宋体"/>
          <w:sz w:val="24"/>
          <w:szCs w:val="24"/>
        </w:rPr>
        <w:t xml:space="preserve">， </w:t>
      </w:r>
    </w:p>
    <w:p>
      <w:pPr>
        <w:spacing w:line="360" w:lineRule="auto"/>
        <w:ind w:firstLine="480" w:firstLineChars="200"/>
        <w:contextualSpacing/>
        <w:rPr>
          <w:rFonts w:ascii="宋体" w:hAnsi="宋体"/>
          <w:sz w:val="24"/>
          <w:szCs w:val="24"/>
        </w:rPr>
      </w:pPr>
      <w:r>
        <w:rPr>
          <w:rFonts w:hint="eastAsia" w:ascii="宋体" w:hAnsi="宋体"/>
          <w:sz w:val="24"/>
          <w:szCs w:val="24"/>
        </w:rPr>
        <w:t>联系人：</w:t>
      </w:r>
      <w:r>
        <w:rPr>
          <w:rFonts w:hint="eastAsia" w:ascii="宋体" w:hAnsi="宋体"/>
          <w:sz w:val="24"/>
          <w:szCs w:val="24"/>
          <w:u w:val="single"/>
        </w:rPr>
        <w:t xml:space="preserve"> 杨工 </w:t>
      </w:r>
      <w:r>
        <w:rPr>
          <w:rFonts w:hint="eastAsia" w:ascii="宋体" w:hAnsi="宋体"/>
          <w:sz w:val="24"/>
          <w:szCs w:val="24"/>
        </w:rPr>
        <w:t>，联系电话：</w:t>
      </w:r>
      <w:r>
        <w:rPr>
          <w:rFonts w:hint="eastAsia" w:ascii="宋体" w:hAnsi="宋体"/>
          <w:sz w:val="24"/>
          <w:szCs w:val="24"/>
          <w:u w:val="single"/>
        </w:rPr>
        <w:t xml:space="preserve"> 18206295248 </w:t>
      </w:r>
      <w:r>
        <w:rPr>
          <w:rFonts w:hint="eastAsia" w:ascii="宋体" w:hAnsi="宋体"/>
          <w:sz w:val="24"/>
          <w:szCs w:val="24"/>
        </w:rPr>
        <w:t>；</w:t>
      </w:r>
    </w:p>
    <w:p>
      <w:pPr>
        <w:spacing w:line="360" w:lineRule="auto"/>
        <w:ind w:firstLine="480" w:firstLineChars="200"/>
        <w:contextualSpacing/>
        <w:rPr>
          <w:rFonts w:ascii="宋体" w:hAnsi="宋体"/>
          <w:sz w:val="24"/>
          <w:szCs w:val="24"/>
        </w:rPr>
      </w:pPr>
      <w:r>
        <w:rPr>
          <w:rFonts w:ascii="宋体" w:hAnsi="宋体"/>
          <w:sz w:val="24"/>
          <w:szCs w:val="24"/>
        </w:rPr>
        <w:t>对项目需求部分的询问、质疑请向采购人提出，询问、质疑由采购人负责答复。</w:t>
      </w:r>
    </w:p>
    <w:p>
      <w:pPr>
        <w:spacing w:line="360" w:lineRule="auto"/>
        <w:contextualSpacing/>
        <w:rPr>
          <w:rFonts w:ascii="宋体" w:hAnsi="宋体"/>
          <w:b/>
          <w:sz w:val="24"/>
          <w:szCs w:val="24"/>
        </w:rPr>
      </w:pPr>
      <w:r>
        <w:rPr>
          <w:rFonts w:hint="eastAsia" w:ascii="宋体" w:hAnsi="宋体"/>
          <w:b/>
          <w:sz w:val="24"/>
          <w:szCs w:val="24"/>
        </w:rPr>
        <w:t>十三</w:t>
      </w:r>
      <w:r>
        <w:rPr>
          <w:rFonts w:ascii="宋体" w:hAnsi="宋体"/>
          <w:b/>
          <w:sz w:val="24"/>
          <w:szCs w:val="24"/>
        </w:rPr>
        <w:t>、投标文件制作份数要求</w:t>
      </w:r>
    </w:p>
    <w:p>
      <w:pPr>
        <w:spacing w:line="360" w:lineRule="auto"/>
        <w:ind w:firstLine="480" w:firstLineChars="200"/>
        <w:contextualSpacing/>
        <w:rPr>
          <w:rFonts w:ascii="宋体" w:hAnsi="宋体"/>
          <w:sz w:val="24"/>
          <w:szCs w:val="24"/>
        </w:rPr>
      </w:pPr>
      <w:r>
        <w:rPr>
          <w:rFonts w:ascii="宋体" w:hAnsi="宋体"/>
          <w:sz w:val="24"/>
          <w:szCs w:val="24"/>
        </w:rPr>
        <w:t>纸质文件正本壹份</w:t>
      </w:r>
      <w:r>
        <w:rPr>
          <w:rFonts w:hint="eastAsia" w:ascii="宋体" w:hAnsi="宋体"/>
          <w:sz w:val="24"/>
          <w:szCs w:val="24"/>
        </w:rPr>
        <w:t>、副本贰份。</w:t>
      </w:r>
    </w:p>
    <w:p>
      <w:pPr>
        <w:spacing w:line="360" w:lineRule="auto"/>
        <w:contextualSpacing/>
        <w:rPr>
          <w:rFonts w:ascii="宋体" w:hAnsi="宋体"/>
          <w:sz w:val="24"/>
          <w:szCs w:val="24"/>
        </w:rPr>
      </w:pPr>
    </w:p>
    <w:p>
      <w:pPr>
        <w:spacing w:line="360" w:lineRule="auto"/>
        <w:contextualSpacing/>
        <w:rPr>
          <w:rFonts w:ascii="宋体" w:hAnsi="宋体"/>
          <w:sz w:val="24"/>
          <w:szCs w:val="24"/>
        </w:rPr>
      </w:pPr>
    </w:p>
    <w:p>
      <w:pPr>
        <w:spacing w:line="360" w:lineRule="auto"/>
        <w:ind w:firstLine="480" w:firstLineChars="200"/>
        <w:contextualSpacing/>
        <w:jc w:val="right"/>
        <w:rPr>
          <w:rFonts w:ascii="宋体" w:hAnsi="宋体"/>
          <w:sz w:val="24"/>
          <w:szCs w:val="24"/>
        </w:rPr>
      </w:pPr>
      <w:r>
        <w:rPr>
          <w:rFonts w:hint="eastAsia" w:ascii="宋体" w:hAnsi="宋体"/>
          <w:sz w:val="24"/>
          <w:szCs w:val="24"/>
        </w:rPr>
        <w:t>采购人：南通农副产品物流有限公司</w:t>
      </w:r>
    </w:p>
    <w:p>
      <w:pPr>
        <w:spacing w:line="360" w:lineRule="auto"/>
        <w:ind w:firstLine="480" w:firstLineChars="200"/>
        <w:contextualSpacing/>
        <w:jc w:val="right"/>
        <w:rPr>
          <w:rFonts w:ascii="宋体" w:hAnsi="宋体"/>
          <w:sz w:val="24"/>
          <w:szCs w:val="24"/>
        </w:rPr>
      </w:pPr>
      <w:r>
        <w:rPr>
          <w:rFonts w:hint="eastAsia" w:ascii="宋体" w:hAnsi="宋体"/>
          <w:sz w:val="24"/>
          <w:szCs w:val="24"/>
        </w:rPr>
        <w:t>2020年 7月9日</w:t>
      </w:r>
    </w:p>
    <w:bookmarkEnd w:id="0"/>
    <w:p>
      <w:pPr>
        <w:spacing w:line="360" w:lineRule="auto"/>
        <w:ind w:right="840" w:firstLine="480" w:firstLineChars="200"/>
        <w:contextualSpacing/>
        <w:rPr>
          <w:rFonts w:ascii="宋体" w:hAnsi="宋体"/>
          <w:sz w:val="24"/>
          <w:szCs w:val="24"/>
        </w:rPr>
      </w:pPr>
      <w:r>
        <w:rPr>
          <w:rFonts w:hint="eastAsia" w:ascii="宋体" w:hAnsi="宋体"/>
          <w:sz w:val="24"/>
          <w:szCs w:val="24"/>
        </w:rPr>
        <w:t xml:space="preserve">                 </w:t>
      </w:r>
      <w:bookmarkEnd w:id="9"/>
      <w:bookmarkStart w:id="14" w:name="_Toc120614211"/>
      <w:bookmarkStart w:id="15" w:name="_Toc479962290"/>
      <w:r>
        <w:rPr>
          <w:rFonts w:hint="eastAsia" w:ascii="宋体" w:hAnsi="宋体"/>
          <w:sz w:val="24"/>
          <w:szCs w:val="24"/>
        </w:rPr>
        <w:t xml:space="preserve">     </w:t>
      </w:r>
    </w:p>
    <w:p>
      <w:pPr>
        <w:snapToGrid w:val="0"/>
        <w:spacing w:line="360" w:lineRule="auto"/>
        <w:jc w:val="center"/>
        <w:rPr>
          <w:rFonts w:ascii="宋体" w:hAnsi="宋体"/>
          <w:b/>
          <w:sz w:val="32"/>
          <w:szCs w:val="32"/>
        </w:rPr>
      </w:pPr>
      <w:r>
        <w:rPr>
          <w:rFonts w:ascii="宋体" w:hAnsi="宋体"/>
          <w:sz w:val="44"/>
          <w:szCs w:val="44"/>
        </w:rPr>
        <w:br w:type="page"/>
      </w:r>
      <w:r>
        <w:rPr>
          <w:rFonts w:hint="eastAsia" w:ascii="宋体" w:hAnsi="宋体"/>
          <w:b/>
          <w:sz w:val="32"/>
          <w:szCs w:val="32"/>
        </w:rPr>
        <w:t xml:space="preserve">第二章  </w:t>
      </w:r>
      <w:bookmarkEnd w:id="1"/>
      <w:bookmarkEnd w:id="2"/>
      <w:bookmarkEnd w:id="3"/>
      <w:bookmarkEnd w:id="4"/>
      <w:bookmarkEnd w:id="5"/>
      <w:bookmarkEnd w:id="14"/>
      <w:bookmarkStart w:id="16" w:name="_Toc120614213"/>
      <w:bookmarkStart w:id="17" w:name="_Toc513029202"/>
      <w:bookmarkStart w:id="18" w:name="_Toc16938518"/>
      <w:bookmarkStart w:id="19" w:name="_Toc20823274"/>
      <w:r>
        <w:rPr>
          <w:rFonts w:hint="eastAsia" w:ascii="宋体" w:hAnsi="宋体"/>
          <w:b/>
          <w:sz w:val="32"/>
          <w:szCs w:val="32"/>
        </w:rPr>
        <w:t xml:space="preserve"> 供应商须知</w:t>
      </w:r>
      <w:bookmarkEnd w:id="15"/>
      <w:bookmarkEnd w:id="16"/>
      <w:bookmarkEnd w:id="17"/>
      <w:bookmarkEnd w:id="18"/>
      <w:bookmarkEnd w:id="19"/>
    </w:p>
    <w:p>
      <w:pPr>
        <w:snapToGrid w:val="0"/>
        <w:spacing w:line="360" w:lineRule="auto"/>
        <w:jc w:val="center"/>
        <w:outlineLvl w:val="1"/>
        <w:rPr>
          <w:rFonts w:ascii="宋体" w:hAnsi="宋体"/>
          <w:b/>
          <w:sz w:val="30"/>
          <w:szCs w:val="30"/>
        </w:rPr>
      </w:pPr>
      <w:bookmarkStart w:id="20" w:name="_Toc513029203"/>
      <w:bookmarkStart w:id="21" w:name="_Toc120614214"/>
      <w:bookmarkStart w:id="22" w:name="_Toc16938519"/>
      <w:bookmarkStart w:id="23" w:name="_Toc20823275"/>
      <w:r>
        <w:rPr>
          <w:rFonts w:hint="eastAsia" w:ascii="宋体" w:hAnsi="宋体"/>
          <w:b/>
          <w:sz w:val="30"/>
          <w:szCs w:val="30"/>
        </w:rPr>
        <w:t xml:space="preserve"> 一、总  则</w:t>
      </w:r>
      <w:bookmarkEnd w:id="20"/>
      <w:bookmarkEnd w:id="21"/>
      <w:bookmarkEnd w:id="22"/>
      <w:bookmarkEnd w:id="23"/>
    </w:p>
    <w:p>
      <w:pPr>
        <w:pStyle w:val="112"/>
        <w:snapToGrid w:val="0"/>
        <w:spacing w:line="360" w:lineRule="auto"/>
        <w:ind w:firstLine="211" w:firstLineChars="100"/>
        <w:rPr>
          <w:sz w:val="21"/>
          <w:szCs w:val="21"/>
        </w:rPr>
      </w:pPr>
      <w:bookmarkStart w:id="24" w:name="_Hlt16619475"/>
      <w:bookmarkEnd w:id="24"/>
      <w:bookmarkStart w:id="25" w:name="_Toc458694821"/>
      <w:bookmarkStart w:id="26" w:name="_Toc16938520"/>
      <w:bookmarkStart w:id="27" w:name="_Toc513029204"/>
      <w:bookmarkStart w:id="28" w:name="_Toc20823276"/>
      <w:r>
        <w:rPr>
          <w:rFonts w:hint="eastAsia"/>
          <w:sz w:val="21"/>
          <w:szCs w:val="21"/>
        </w:rPr>
        <w:t>1</w:t>
      </w:r>
      <w:bookmarkEnd w:id="25"/>
      <w:r>
        <w:rPr>
          <w:rFonts w:hint="eastAsia"/>
          <w:sz w:val="21"/>
          <w:szCs w:val="21"/>
        </w:rPr>
        <w:t>、招标方式</w:t>
      </w:r>
      <w:bookmarkEnd w:id="26"/>
      <w:bookmarkEnd w:id="27"/>
      <w:bookmarkEnd w:id="28"/>
      <w:r>
        <w:rPr>
          <w:rFonts w:hint="eastAsia"/>
          <w:sz w:val="21"/>
          <w:szCs w:val="21"/>
        </w:rPr>
        <w:t xml:space="preserve">  </w:t>
      </w:r>
    </w:p>
    <w:p>
      <w:pPr>
        <w:snapToGrid w:val="0"/>
        <w:spacing w:line="360" w:lineRule="auto"/>
        <w:ind w:firstLine="630" w:firstLineChars="300"/>
        <w:rPr>
          <w:rFonts w:ascii="宋体" w:hAnsi="宋体"/>
        </w:rPr>
      </w:pPr>
      <w:r>
        <w:rPr>
          <w:rFonts w:hint="eastAsia" w:ascii="宋体" w:hAnsi="宋体"/>
        </w:rPr>
        <w:t>1.1 本次招标采取</w:t>
      </w:r>
      <w:r>
        <w:rPr>
          <w:rFonts w:hint="eastAsia" w:ascii="宋体" w:hAnsi="宋体"/>
          <w:b/>
        </w:rPr>
        <w:t>公开招标</w:t>
      </w:r>
      <w:r>
        <w:rPr>
          <w:rFonts w:hint="eastAsia" w:ascii="宋体" w:hAnsi="宋体"/>
        </w:rPr>
        <w:t>方式，本招标文件仅适用于招标公告中所述项目。</w:t>
      </w:r>
    </w:p>
    <w:p>
      <w:pPr>
        <w:pStyle w:val="112"/>
        <w:snapToGrid w:val="0"/>
        <w:spacing w:line="360" w:lineRule="auto"/>
        <w:ind w:firstLine="211" w:firstLineChars="100"/>
        <w:rPr>
          <w:sz w:val="21"/>
          <w:szCs w:val="21"/>
        </w:rPr>
      </w:pPr>
      <w:bookmarkStart w:id="29" w:name="_Toc20823277"/>
      <w:bookmarkStart w:id="30" w:name="_Toc16938521"/>
      <w:bookmarkStart w:id="31" w:name="_Toc513029205"/>
      <w:r>
        <w:rPr>
          <w:rFonts w:hint="eastAsia"/>
          <w:sz w:val="21"/>
          <w:szCs w:val="21"/>
        </w:rPr>
        <w:t>2、合格的供应商</w:t>
      </w:r>
      <w:bookmarkEnd w:id="29"/>
      <w:bookmarkEnd w:id="30"/>
      <w:bookmarkEnd w:id="31"/>
    </w:p>
    <w:p>
      <w:pPr>
        <w:snapToGrid w:val="0"/>
        <w:spacing w:line="360" w:lineRule="auto"/>
        <w:ind w:firstLine="630" w:firstLineChars="300"/>
        <w:rPr>
          <w:rFonts w:ascii="宋体" w:hAnsi="宋体"/>
        </w:rPr>
      </w:pPr>
      <w:r>
        <w:rPr>
          <w:rFonts w:hint="eastAsia" w:ascii="宋体" w:hAnsi="宋体"/>
        </w:rPr>
        <w:t>2.1满足招标公告中供应商的资格要求的规定。</w:t>
      </w:r>
    </w:p>
    <w:p>
      <w:pPr>
        <w:snapToGrid w:val="0"/>
        <w:spacing w:line="360" w:lineRule="auto"/>
        <w:ind w:firstLine="630" w:firstLineChars="300"/>
        <w:rPr>
          <w:rFonts w:ascii="宋体" w:hAnsi="宋体"/>
        </w:rPr>
      </w:pPr>
      <w:r>
        <w:rPr>
          <w:rFonts w:hint="eastAsia" w:ascii="宋体" w:hAnsi="宋体"/>
        </w:rPr>
        <w:t>2.2 满足本文件实质性条款的规定。</w:t>
      </w:r>
    </w:p>
    <w:p>
      <w:pPr>
        <w:pStyle w:val="112"/>
        <w:snapToGrid w:val="0"/>
        <w:spacing w:line="360" w:lineRule="auto"/>
        <w:ind w:firstLine="211" w:firstLineChars="100"/>
        <w:rPr>
          <w:sz w:val="21"/>
          <w:szCs w:val="21"/>
        </w:rPr>
      </w:pPr>
      <w:bookmarkStart w:id="32" w:name="_Toc16938522"/>
      <w:bookmarkStart w:id="33" w:name="_Toc513029206"/>
      <w:bookmarkStart w:id="34" w:name="_Toc20823278"/>
      <w:r>
        <w:rPr>
          <w:rFonts w:hint="eastAsia"/>
          <w:sz w:val="21"/>
          <w:szCs w:val="21"/>
        </w:rPr>
        <w:t>3、适用法律</w:t>
      </w:r>
      <w:bookmarkEnd w:id="32"/>
      <w:bookmarkEnd w:id="33"/>
      <w:bookmarkEnd w:id="34"/>
    </w:p>
    <w:p>
      <w:pPr>
        <w:snapToGrid w:val="0"/>
        <w:spacing w:line="360" w:lineRule="auto"/>
        <w:ind w:firstLine="630" w:firstLineChars="300"/>
        <w:rPr>
          <w:rFonts w:ascii="宋体" w:hAnsi="宋体"/>
        </w:rPr>
      </w:pPr>
      <w:r>
        <w:rPr>
          <w:rFonts w:hint="eastAsia" w:ascii="宋体" w:hAnsi="宋体"/>
        </w:rPr>
        <w:t>3.1 本次招标及由此产生的合同受中华人民共和国有关的法律法规制约和保护</w:t>
      </w:r>
      <w:r>
        <w:rPr>
          <w:rFonts w:ascii="宋体" w:hAnsi="宋体"/>
        </w:rPr>
        <w:t>。</w:t>
      </w:r>
    </w:p>
    <w:p>
      <w:pPr>
        <w:pStyle w:val="112"/>
        <w:snapToGrid w:val="0"/>
        <w:spacing w:line="360" w:lineRule="auto"/>
        <w:ind w:firstLine="211" w:firstLineChars="100"/>
        <w:rPr>
          <w:sz w:val="21"/>
          <w:szCs w:val="21"/>
        </w:rPr>
      </w:pPr>
      <w:bookmarkStart w:id="35" w:name="_Toc513029207"/>
      <w:bookmarkStart w:id="36" w:name="_Toc20823279"/>
      <w:bookmarkStart w:id="37" w:name="_Toc16938523"/>
      <w:bookmarkStart w:id="38" w:name="_Toc462564067"/>
      <w:r>
        <w:rPr>
          <w:rFonts w:hint="eastAsia"/>
          <w:sz w:val="21"/>
          <w:szCs w:val="21"/>
        </w:rPr>
        <w:t>4、投标费用</w:t>
      </w:r>
      <w:bookmarkEnd w:id="35"/>
      <w:bookmarkEnd w:id="36"/>
      <w:bookmarkEnd w:id="37"/>
      <w:bookmarkEnd w:id="38"/>
    </w:p>
    <w:p>
      <w:pPr>
        <w:snapToGrid w:val="0"/>
        <w:spacing w:line="360" w:lineRule="auto"/>
        <w:ind w:firstLine="420" w:firstLineChars="200"/>
        <w:rPr>
          <w:rFonts w:ascii="宋体" w:hAnsi="宋体"/>
        </w:rPr>
      </w:pPr>
      <w:r>
        <w:rPr>
          <w:rFonts w:hint="eastAsia" w:ascii="宋体" w:hAnsi="宋体"/>
        </w:rPr>
        <w:t>4.1供应商应承担其编制投标文件以及递交投标文件所涉及的一切费用，</w:t>
      </w:r>
      <w:r>
        <w:rPr>
          <w:rFonts w:hint="eastAsia" w:ascii="宋体" w:hAnsi="宋体"/>
          <w:b/>
        </w:rPr>
        <w:t>招标文件每套售价300元(现金)，供应商在递交投标文件同时递交。</w:t>
      </w:r>
      <w:r>
        <w:rPr>
          <w:rFonts w:hint="eastAsia" w:ascii="宋体" w:hAnsi="宋体"/>
        </w:rPr>
        <w:t>无论投标结果如何，采购人对上述费用不负任何责任。</w:t>
      </w:r>
    </w:p>
    <w:p>
      <w:pPr>
        <w:shd w:val="clear" w:color="auto" w:fill="FFFFFF"/>
        <w:spacing w:line="360" w:lineRule="auto"/>
        <w:ind w:firstLine="420" w:firstLineChars="200"/>
        <w:rPr>
          <w:rFonts w:ascii="宋体" w:hAnsi="宋体"/>
        </w:rPr>
      </w:pPr>
      <w:r>
        <w:rPr>
          <w:rFonts w:hint="eastAsia" w:ascii="宋体" w:hAnsi="宋体"/>
        </w:rPr>
        <w:t>4.2成交单位中标后向代理公司支付招标代理服务费，本项目招标代理服务费为2600元，该费用由供应商综合考虑在投标报价中。</w:t>
      </w:r>
    </w:p>
    <w:p>
      <w:pPr>
        <w:pStyle w:val="112"/>
        <w:snapToGrid w:val="0"/>
        <w:spacing w:line="360" w:lineRule="auto"/>
        <w:ind w:firstLine="211" w:firstLineChars="100"/>
        <w:rPr>
          <w:sz w:val="21"/>
          <w:szCs w:val="21"/>
        </w:rPr>
      </w:pPr>
      <w:r>
        <w:rPr>
          <w:rFonts w:hint="eastAsia"/>
          <w:sz w:val="21"/>
          <w:szCs w:val="21"/>
        </w:rPr>
        <w:t>5、招标文件的约束力</w:t>
      </w:r>
    </w:p>
    <w:p>
      <w:pPr>
        <w:snapToGrid w:val="0"/>
        <w:spacing w:line="360" w:lineRule="auto"/>
        <w:ind w:left="210" w:leftChars="100" w:firstLine="315" w:firstLineChars="150"/>
        <w:rPr>
          <w:rFonts w:ascii="宋体" w:hAnsi="宋体"/>
        </w:rPr>
      </w:pPr>
      <w:r>
        <w:rPr>
          <w:rFonts w:hint="eastAsia" w:ascii="宋体" w:hAnsi="宋体"/>
        </w:rPr>
        <w:t>5.1 供应商一旦参加本项目采购活动，即被认为接受了本招标文件的规定和约束并且视为自招标公告期限届满之日起知道或应当知道自身权益是否受到了损害。</w:t>
      </w:r>
    </w:p>
    <w:p>
      <w:pPr>
        <w:snapToGrid w:val="0"/>
        <w:spacing w:line="360" w:lineRule="auto"/>
        <w:ind w:firstLine="525" w:firstLineChars="250"/>
        <w:rPr>
          <w:rFonts w:ascii="宋体" w:hAnsi="宋体"/>
        </w:rPr>
      </w:pPr>
      <w:r>
        <w:rPr>
          <w:rFonts w:hint="eastAsia" w:ascii="宋体" w:hAnsi="宋体"/>
          <w:bCs/>
        </w:rPr>
        <w:t>5.2</w:t>
      </w:r>
      <w:r>
        <w:rPr>
          <w:rFonts w:hint="eastAsia" w:ascii="宋体" w:hAnsi="宋体"/>
        </w:rPr>
        <w:t>本招标文件由代理机构负责解释。</w:t>
      </w:r>
    </w:p>
    <w:p>
      <w:pPr>
        <w:snapToGrid w:val="0"/>
        <w:spacing w:line="360" w:lineRule="auto"/>
        <w:ind w:firstLine="601"/>
        <w:jc w:val="center"/>
        <w:outlineLvl w:val="1"/>
        <w:rPr>
          <w:rFonts w:ascii="宋体" w:hAnsi="宋体"/>
          <w:b/>
          <w:sz w:val="30"/>
          <w:szCs w:val="30"/>
        </w:rPr>
      </w:pPr>
      <w:bookmarkStart w:id="39" w:name="_Toc513029209"/>
      <w:bookmarkStart w:id="40" w:name="_Toc16938525"/>
      <w:bookmarkStart w:id="41" w:name="_Toc120614215"/>
      <w:bookmarkStart w:id="42" w:name="_Toc20823281"/>
      <w:r>
        <w:rPr>
          <w:rFonts w:hint="eastAsia" w:ascii="宋体" w:hAnsi="宋体"/>
          <w:b/>
          <w:sz w:val="30"/>
          <w:szCs w:val="30"/>
        </w:rPr>
        <w:t>二、招标文件</w:t>
      </w:r>
      <w:bookmarkEnd w:id="39"/>
      <w:bookmarkEnd w:id="40"/>
      <w:bookmarkEnd w:id="41"/>
      <w:bookmarkEnd w:id="42"/>
    </w:p>
    <w:p>
      <w:pPr>
        <w:pStyle w:val="112"/>
        <w:snapToGrid w:val="0"/>
        <w:spacing w:line="360" w:lineRule="auto"/>
        <w:ind w:firstLine="316" w:firstLineChars="150"/>
        <w:rPr>
          <w:sz w:val="21"/>
          <w:szCs w:val="21"/>
        </w:rPr>
      </w:pPr>
      <w:bookmarkStart w:id="43" w:name="_Toc20823282"/>
      <w:bookmarkStart w:id="44" w:name="_Toc513029210"/>
      <w:bookmarkStart w:id="45" w:name="_Toc16938526"/>
      <w:r>
        <w:rPr>
          <w:rFonts w:hint="eastAsia"/>
          <w:sz w:val="21"/>
          <w:szCs w:val="21"/>
        </w:rPr>
        <w:t>6、招标文件构成</w:t>
      </w:r>
      <w:bookmarkEnd w:id="43"/>
      <w:bookmarkEnd w:id="44"/>
      <w:bookmarkEnd w:id="45"/>
    </w:p>
    <w:p>
      <w:pPr>
        <w:snapToGrid w:val="0"/>
        <w:spacing w:line="360" w:lineRule="auto"/>
        <w:ind w:firstLine="525" w:firstLineChars="250"/>
        <w:rPr>
          <w:rFonts w:ascii="宋体" w:hAnsi="宋体"/>
        </w:rPr>
      </w:pPr>
      <w:r>
        <w:rPr>
          <w:rFonts w:hint="eastAsia" w:ascii="宋体" w:hAnsi="宋体"/>
          <w:bCs/>
        </w:rPr>
        <w:t>6.1</w:t>
      </w:r>
      <w:r>
        <w:rPr>
          <w:rFonts w:hint="eastAsia" w:ascii="宋体" w:hAnsi="宋体"/>
        </w:rPr>
        <w:t xml:space="preserve"> 招标文件由以下部分组成：</w:t>
      </w:r>
    </w:p>
    <w:p>
      <w:pPr>
        <w:snapToGrid w:val="0"/>
        <w:spacing w:line="360" w:lineRule="auto"/>
        <w:ind w:firstLine="420" w:firstLineChars="200"/>
        <w:rPr>
          <w:rFonts w:ascii="宋体" w:hAnsi="宋体"/>
        </w:rPr>
      </w:pPr>
      <w:r>
        <w:rPr>
          <w:rFonts w:hint="eastAsia" w:ascii="宋体" w:hAnsi="宋体"/>
        </w:rPr>
        <w:t>（1）招标公告</w:t>
      </w:r>
    </w:p>
    <w:p>
      <w:pPr>
        <w:snapToGrid w:val="0"/>
        <w:spacing w:line="360" w:lineRule="auto"/>
        <w:ind w:firstLine="420" w:firstLineChars="200"/>
        <w:rPr>
          <w:rFonts w:ascii="宋体" w:hAnsi="宋体"/>
        </w:rPr>
      </w:pPr>
      <w:r>
        <w:rPr>
          <w:rFonts w:hint="eastAsia" w:ascii="宋体" w:hAnsi="宋体"/>
        </w:rPr>
        <w:t>（2）供应商须知</w:t>
      </w:r>
    </w:p>
    <w:p>
      <w:pPr>
        <w:snapToGrid w:val="0"/>
        <w:spacing w:line="360" w:lineRule="auto"/>
        <w:ind w:firstLine="420" w:firstLineChars="200"/>
        <w:rPr>
          <w:rFonts w:ascii="宋体" w:hAnsi="宋体"/>
        </w:rPr>
      </w:pPr>
      <w:r>
        <w:rPr>
          <w:rFonts w:hint="eastAsia" w:ascii="宋体" w:hAnsi="宋体"/>
        </w:rPr>
        <w:t>（3）合同条款及格式</w:t>
      </w:r>
    </w:p>
    <w:p>
      <w:pPr>
        <w:snapToGrid w:val="0"/>
        <w:spacing w:line="360" w:lineRule="auto"/>
        <w:ind w:firstLine="420" w:firstLineChars="200"/>
        <w:rPr>
          <w:rFonts w:ascii="宋体" w:hAnsi="宋体"/>
        </w:rPr>
      </w:pPr>
      <w:r>
        <w:rPr>
          <w:rFonts w:hint="eastAsia" w:ascii="宋体" w:hAnsi="宋体"/>
        </w:rPr>
        <w:t>（4）项目需求</w:t>
      </w:r>
    </w:p>
    <w:p>
      <w:pPr>
        <w:snapToGrid w:val="0"/>
        <w:spacing w:line="360" w:lineRule="auto"/>
        <w:ind w:firstLine="420" w:firstLineChars="200"/>
        <w:rPr>
          <w:rFonts w:ascii="宋体" w:hAnsi="宋体"/>
        </w:rPr>
      </w:pPr>
      <w:r>
        <w:rPr>
          <w:rFonts w:hint="eastAsia" w:ascii="宋体" w:hAnsi="宋体"/>
        </w:rPr>
        <w:t>（5）资格审查</w:t>
      </w:r>
    </w:p>
    <w:p>
      <w:pPr>
        <w:snapToGrid w:val="0"/>
        <w:spacing w:line="360" w:lineRule="auto"/>
        <w:ind w:firstLine="420" w:firstLineChars="200"/>
        <w:rPr>
          <w:rFonts w:ascii="宋体" w:hAnsi="宋体"/>
        </w:rPr>
      </w:pPr>
      <w:r>
        <w:rPr>
          <w:rFonts w:hint="eastAsia" w:ascii="宋体" w:hAnsi="宋体"/>
        </w:rPr>
        <w:t>（6）评标办法</w:t>
      </w:r>
    </w:p>
    <w:p>
      <w:pPr>
        <w:snapToGrid w:val="0"/>
        <w:spacing w:line="360" w:lineRule="auto"/>
        <w:ind w:firstLine="420" w:firstLineChars="200"/>
        <w:rPr>
          <w:rFonts w:ascii="宋体" w:hAnsi="宋体"/>
        </w:rPr>
      </w:pPr>
      <w:r>
        <w:rPr>
          <w:rFonts w:hint="eastAsia" w:ascii="宋体" w:hAnsi="宋体"/>
        </w:rPr>
        <w:t>（7）投标文件格式</w:t>
      </w:r>
    </w:p>
    <w:p>
      <w:pPr>
        <w:snapToGrid w:val="0"/>
        <w:spacing w:line="360" w:lineRule="auto"/>
        <w:ind w:firstLine="525" w:firstLineChars="250"/>
        <w:rPr>
          <w:rFonts w:ascii="宋体" w:hAnsi="宋体"/>
        </w:rPr>
      </w:pPr>
      <w:r>
        <w:rPr>
          <w:rFonts w:hint="eastAsia" w:ascii="宋体" w:hAnsi="宋体"/>
        </w:rPr>
        <w:t>请仔细检查招标文件是否齐全，如有缺漏请立即与代理机构联系解决。</w:t>
      </w:r>
    </w:p>
    <w:p>
      <w:pPr>
        <w:snapToGrid w:val="0"/>
        <w:spacing w:line="360" w:lineRule="auto"/>
        <w:ind w:firstLine="420" w:firstLineChars="200"/>
        <w:rPr>
          <w:rFonts w:ascii="宋体" w:hAnsi="宋体"/>
        </w:rPr>
      </w:pPr>
      <w:r>
        <w:rPr>
          <w:rFonts w:hint="eastAsia" w:ascii="宋体" w:hAnsi="宋体"/>
        </w:rPr>
        <w:t>6.2 供应商应认真阅读招标文件中所有的事项、格式、条款和规范等要求。按招标文件要求和规定编制投标文件，并保证所提供的全部资料的真实性，以使其投标文件对招标文件作出实质性响应，否则其风险由供应商自行承担。</w:t>
      </w:r>
    </w:p>
    <w:p>
      <w:pPr>
        <w:pStyle w:val="112"/>
        <w:snapToGrid w:val="0"/>
        <w:spacing w:line="360" w:lineRule="auto"/>
        <w:rPr>
          <w:sz w:val="21"/>
          <w:szCs w:val="21"/>
        </w:rPr>
      </w:pPr>
      <w:bookmarkStart w:id="46" w:name="_Toc16938527"/>
      <w:bookmarkStart w:id="47" w:name="_Toc513029211"/>
      <w:bookmarkStart w:id="48" w:name="_Toc20823283"/>
      <w:bookmarkStart w:id="49" w:name="_Toc462564070"/>
      <w:r>
        <w:rPr>
          <w:rFonts w:hint="eastAsia"/>
          <w:sz w:val="21"/>
          <w:szCs w:val="21"/>
        </w:rPr>
        <w:t>7、招标文件的</w:t>
      </w:r>
      <w:bookmarkEnd w:id="46"/>
      <w:bookmarkEnd w:id="47"/>
      <w:bookmarkEnd w:id="48"/>
      <w:bookmarkEnd w:id="49"/>
      <w:r>
        <w:rPr>
          <w:rFonts w:hint="eastAsia"/>
          <w:sz w:val="21"/>
          <w:szCs w:val="21"/>
        </w:rPr>
        <w:t>询问</w:t>
      </w:r>
    </w:p>
    <w:p>
      <w:pPr>
        <w:snapToGrid w:val="0"/>
        <w:spacing w:line="360" w:lineRule="auto"/>
        <w:ind w:firstLine="420" w:firstLineChars="200"/>
        <w:rPr>
          <w:rFonts w:ascii="宋体" w:hAnsi="宋体"/>
        </w:rPr>
      </w:pPr>
      <w:r>
        <w:rPr>
          <w:rFonts w:hint="eastAsia" w:ascii="宋体" w:hAnsi="宋体"/>
        </w:rPr>
        <w:t>7.1任何要求对招标文件进行询问的供应商，均应在提交首次投标文件截止时间</w:t>
      </w:r>
      <w:r>
        <w:rPr>
          <w:rFonts w:hint="eastAsia" w:ascii="宋体" w:hAnsi="宋体"/>
          <w:b/>
        </w:rPr>
        <w:t>15日前以电子文件形式（不具单位名称）发送至543907018@qq.com 邮箱</w:t>
      </w:r>
      <w:r>
        <w:rPr>
          <w:rFonts w:hint="eastAsia" w:ascii="宋体" w:hAnsi="宋体"/>
        </w:rPr>
        <w:t>，向代理机构或采购人提出。</w:t>
      </w:r>
    </w:p>
    <w:p>
      <w:pPr>
        <w:pStyle w:val="112"/>
        <w:snapToGrid w:val="0"/>
        <w:spacing w:line="360" w:lineRule="auto"/>
        <w:rPr>
          <w:sz w:val="21"/>
          <w:szCs w:val="21"/>
        </w:rPr>
      </w:pPr>
      <w:bookmarkStart w:id="50" w:name="_Toc16938528"/>
      <w:bookmarkStart w:id="51" w:name="_Toc513029212"/>
      <w:bookmarkStart w:id="52" w:name="_Toc462564071"/>
      <w:bookmarkStart w:id="53" w:name="_Toc20823284"/>
      <w:r>
        <w:rPr>
          <w:rFonts w:hint="eastAsia"/>
          <w:sz w:val="21"/>
          <w:szCs w:val="21"/>
        </w:rPr>
        <w:t>8、招标文件的修改</w:t>
      </w:r>
      <w:bookmarkEnd w:id="50"/>
      <w:bookmarkEnd w:id="51"/>
      <w:bookmarkEnd w:id="52"/>
      <w:bookmarkEnd w:id="53"/>
    </w:p>
    <w:p>
      <w:pPr>
        <w:snapToGrid w:val="0"/>
        <w:spacing w:line="360" w:lineRule="auto"/>
        <w:ind w:firstLine="420" w:firstLineChars="200"/>
        <w:rPr>
          <w:rFonts w:ascii="宋体" w:hAnsi="宋体"/>
          <w:b/>
        </w:rPr>
      </w:pPr>
      <w:r>
        <w:rPr>
          <w:rFonts w:hint="eastAsia" w:ascii="宋体" w:hAnsi="宋体"/>
        </w:rPr>
        <w:t xml:space="preserve">8.1 </w:t>
      </w:r>
      <w:r>
        <w:rPr>
          <w:rFonts w:hint="eastAsia" w:ascii="宋体" w:hAnsi="宋体"/>
          <w:b/>
        </w:rPr>
        <w:t>在投标截止时间5天前，代理机构可以对招标文件进行修改。</w:t>
      </w:r>
    </w:p>
    <w:p>
      <w:pPr>
        <w:snapToGrid w:val="0"/>
        <w:spacing w:line="360" w:lineRule="auto"/>
        <w:ind w:firstLine="420" w:firstLineChars="200"/>
        <w:rPr>
          <w:rFonts w:ascii="宋体" w:hAnsi="宋体"/>
        </w:rPr>
      </w:pPr>
      <w:r>
        <w:rPr>
          <w:rFonts w:hint="eastAsia" w:ascii="宋体" w:hAnsi="宋体"/>
        </w:rPr>
        <w:t>8.2代理机构有权按照法定的要求推迟投标截止日期和开标日期。</w:t>
      </w:r>
    </w:p>
    <w:p>
      <w:pPr>
        <w:snapToGrid w:val="0"/>
        <w:spacing w:line="360" w:lineRule="auto"/>
        <w:ind w:firstLine="420" w:firstLineChars="200"/>
        <w:rPr>
          <w:rFonts w:ascii="宋体" w:hAnsi="宋体"/>
        </w:rPr>
      </w:pPr>
      <w:r>
        <w:rPr>
          <w:rFonts w:hint="eastAsia" w:ascii="宋体" w:hAnsi="宋体"/>
        </w:rPr>
        <w:t>8.3补充文件将作为招标文件的组成部分，并对供应商具有约束力。</w:t>
      </w:r>
    </w:p>
    <w:p>
      <w:pPr>
        <w:snapToGrid w:val="0"/>
        <w:spacing w:line="360" w:lineRule="auto"/>
        <w:ind w:firstLine="480" w:firstLineChars="200"/>
        <w:rPr>
          <w:rFonts w:ascii="宋体" w:hAnsi="宋体"/>
          <w:sz w:val="24"/>
          <w:szCs w:val="24"/>
        </w:rPr>
      </w:pPr>
    </w:p>
    <w:p>
      <w:pPr>
        <w:snapToGrid w:val="0"/>
        <w:spacing w:line="360" w:lineRule="auto"/>
        <w:jc w:val="center"/>
        <w:outlineLvl w:val="1"/>
        <w:rPr>
          <w:rFonts w:ascii="宋体" w:hAnsi="宋体"/>
          <w:b/>
          <w:sz w:val="30"/>
          <w:szCs w:val="30"/>
        </w:rPr>
      </w:pPr>
      <w:bookmarkStart w:id="54" w:name="_Toc20823285"/>
      <w:bookmarkStart w:id="55" w:name="_Toc513029213"/>
      <w:bookmarkStart w:id="56" w:name="_Toc120614216"/>
      <w:bookmarkStart w:id="57" w:name="_Toc462564072"/>
      <w:bookmarkStart w:id="58" w:name="_Toc16938529"/>
      <w:r>
        <w:rPr>
          <w:rFonts w:hint="eastAsia" w:ascii="宋体" w:hAnsi="宋体"/>
          <w:b/>
          <w:sz w:val="30"/>
          <w:szCs w:val="30"/>
        </w:rPr>
        <w:t>三、投标文件的编制</w:t>
      </w:r>
      <w:bookmarkEnd w:id="54"/>
      <w:bookmarkEnd w:id="55"/>
      <w:bookmarkEnd w:id="56"/>
      <w:bookmarkEnd w:id="57"/>
      <w:bookmarkEnd w:id="58"/>
    </w:p>
    <w:p>
      <w:pPr>
        <w:pStyle w:val="112"/>
        <w:snapToGrid w:val="0"/>
        <w:spacing w:line="360" w:lineRule="auto"/>
        <w:rPr>
          <w:sz w:val="21"/>
          <w:szCs w:val="21"/>
        </w:rPr>
      </w:pPr>
      <w:bookmarkStart w:id="59" w:name="_Toc20823286"/>
      <w:bookmarkStart w:id="60" w:name="_Toc513029214"/>
      <w:bookmarkStart w:id="61" w:name="_Toc16938530"/>
      <w:bookmarkStart w:id="62" w:name="_Toc462564073"/>
      <w:r>
        <w:rPr>
          <w:rFonts w:hint="eastAsia"/>
          <w:sz w:val="21"/>
          <w:szCs w:val="21"/>
        </w:rPr>
        <w:t>9、投标文件的语言及度量衡单位</w:t>
      </w:r>
      <w:bookmarkEnd w:id="59"/>
      <w:bookmarkEnd w:id="60"/>
      <w:bookmarkEnd w:id="61"/>
      <w:bookmarkEnd w:id="62"/>
    </w:p>
    <w:p>
      <w:pPr>
        <w:snapToGrid w:val="0"/>
        <w:spacing w:line="360" w:lineRule="auto"/>
        <w:ind w:firstLine="420" w:firstLineChars="200"/>
        <w:rPr>
          <w:rFonts w:ascii="宋体" w:hAnsi="宋体"/>
        </w:rPr>
      </w:pPr>
      <w:r>
        <w:rPr>
          <w:rFonts w:hint="eastAsia" w:ascii="宋体" w:hAnsi="宋体"/>
        </w:rPr>
        <w:t>9.1 供应商提交的投标文件以及供应商与代理机构就有关投标的所有来往通知、函件和文件均应使用</w:t>
      </w:r>
      <w:r>
        <w:rPr>
          <w:rFonts w:hint="eastAsia" w:ascii="宋体" w:hAnsi="宋体"/>
          <w:b/>
        </w:rPr>
        <w:t>简体中文</w:t>
      </w:r>
      <w:r>
        <w:rPr>
          <w:rFonts w:hint="eastAsia" w:ascii="宋体" w:hAnsi="宋体"/>
        </w:rPr>
        <w:t>。</w:t>
      </w:r>
    </w:p>
    <w:p>
      <w:pPr>
        <w:snapToGrid w:val="0"/>
        <w:spacing w:line="360" w:lineRule="auto"/>
        <w:ind w:firstLine="420" w:firstLineChars="200"/>
        <w:rPr>
          <w:rFonts w:ascii="宋体" w:hAnsi="宋体"/>
        </w:rPr>
      </w:pPr>
      <w:r>
        <w:rPr>
          <w:rFonts w:hint="eastAsia" w:ascii="宋体" w:hAnsi="宋体"/>
        </w:rPr>
        <w:t>9.2 除技术性能另有规定外，投标文件所使用的度量衡单位，均须采用国家法定计量单位。</w:t>
      </w:r>
    </w:p>
    <w:p>
      <w:pPr>
        <w:pStyle w:val="112"/>
        <w:snapToGrid w:val="0"/>
        <w:spacing w:line="360" w:lineRule="auto"/>
        <w:rPr>
          <w:sz w:val="21"/>
          <w:szCs w:val="21"/>
        </w:rPr>
      </w:pPr>
      <w:bookmarkStart w:id="63" w:name="_Toc20823287"/>
      <w:bookmarkStart w:id="64" w:name="_Toc462564074"/>
      <w:bookmarkStart w:id="65" w:name="_Toc16938531"/>
      <w:bookmarkStart w:id="66" w:name="_Toc513029215"/>
      <w:r>
        <w:rPr>
          <w:rFonts w:hint="eastAsia"/>
          <w:sz w:val="21"/>
          <w:szCs w:val="21"/>
        </w:rPr>
        <w:t>10、投标文件构成</w:t>
      </w:r>
      <w:bookmarkEnd w:id="63"/>
      <w:bookmarkEnd w:id="64"/>
      <w:bookmarkEnd w:id="65"/>
      <w:bookmarkEnd w:id="66"/>
    </w:p>
    <w:p>
      <w:pPr>
        <w:snapToGrid w:val="0"/>
        <w:spacing w:line="360" w:lineRule="auto"/>
        <w:ind w:firstLine="567" w:firstLineChars="270"/>
        <w:rPr>
          <w:rFonts w:ascii="宋体" w:hAnsi="宋体"/>
        </w:rPr>
      </w:pPr>
      <w:r>
        <w:rPr>
          <w:rFonts w:hint="eastAsia" w:ascii="宋体" w:hAnsi="宋体"/>
          <w:bCs/>
        </w:rPr>
        <w:t>10.1</w:t>
      </w:r>
      <w:r>
        <w:rPr>
          <w:rFonts w:hint="eastAsia" w:ascii="宋体" w:hAnsi="宋体"/>
        </w:rPr>
        <w:t xml:space="preserve"> 供应商编写的投标文件应包括资格审查文件、资格审查原件、技术标文件、商务标文件；</w:t>
      </w:r>
    </w:p>
    <w:p>
      <w:pPr>
        <w:snapToGrid w:val="0"/>
        <w:spacing w:line="360" w:lineRule="auto"/>
        <w:ind w:firstLine="567" w:firstLineChars="270"/>
        <w:rPr>
          <w:rFonts w:ascii="宋体" w:hAnsi="宋体"/>
        </w:rPr>
      </w:pPr>
      <w:r>
        <w:rPr>
          <w:rFonts w:hint="eastAsia" w:ascii="宋体" w:hAnsi="宋体"/>
        </w:rPr>
        <w:t>10.2</w:t>
      </w:r>
      <w:r>
        <w:rPr>
          <w:rFonts w:hint="eastAsia" w:ascii="宋体" w:hAnsi="宋体"/>
          <w:b/>
        </w:rPr>
        <w:t xml:space="preserve"> </w:t>
      </w:r>
      <w:r>
        <w:rPr>
          <w:rFonts w:hint="eastAsia" w:ascii="宋体" w:hAnsi="宋体"/>
        </w:rPr>
        <w:t>供应商应将投标文件按顺序装订成册，并编制投标文件资料目录。</w:t>
      </w:r>
    </w:p>
    <w:p>
      <w:pPr>
        <w:pStyle w:val="112"/>
        <w:snapToGrid w:val="0"/>
        <w:spacing w:line="360" w:lineRule="auto"/>
        <w:rPr>
          <w:sz w:val="21"/>
          <w:szCs w:val="21"/>
        </w:rPr>
      </w:pPr>
      <w:bookmarkStart w:id="67" w:name="_Hlt26954838"/>
      <w:bookmarkEnd w:id="67"/>
      <w:bookmarkStart w:id="68" w:name="_Hlt26670360"/>
      <w:bookmarkEnd w:id="68"/>
      <w:bookmarkStart w:id="69" w:name="_Hlt26668975"/>
      <w:bookmarkEnd w:id="69"/>
      <w:bookmarkStart w:id="70" w:name="_Toc513029219"/>
      <w:bookmarkStart w:id="71" w:name="_Toc14577357"/>
      <w:bookmarkStart w:id="72" w:name="_Toc49090509"/>
      <w:bookmarkStart w:id="73" w:name="_Toc49090507"/>
      <w:bookmarkStart w:id="74" w:name="_Toc14577354"/>
      <w:bookmarkStart w:id="75" w:name="_Toc513029216"/>
      <w:r>
        <w:rPr>
          <w:rFonts w:hint="eastAsia"/>
          <w:sz w:val="21"/>
          <w:szCs w:val="21"/>
        </w:rPr>
        <w:t>11、</w:t>
      </w:r>
      <w:bookmarkEnd w:id="70"/>
      <w:bookmarkEnd w:id="71"/>
      <w:bookmarkEnd w:id="72"/>
      <w:r>
        <w:rPr>
          <w:rFonts w:hint="eastAsia"/>
          <w:sz w:val="21"/>
          <w:szCs w:val="21"/>
        </w:rPr>
        <w:t>投标文件的内容</w:t>
      </w:r>
    </w:p>
    <w:bookmarkEnd w:id="73"/>
    <w:bookmarkEnd w:id="74"/>
    <w:bookmarkEnd w:id="75"/>
    <w:p>
      <w:pPr>
        <w:snapToGrid w:val="0"/>
        <w:spacing w:line="360" w:lineRule="auto"/>
        <w:ind w:firstLine="569" w:firstLineChars="270"/>
        <w:rPr>
          <w:rFonts w:ascii="宋体" w:hAnsi="宋体"/>
          <w:b/>
        </w:rPr>
      </w:pPr>
      <w:r>
        <w:rPr>
          <w:rFonts w:hint="eastAsia" w:ascii="宋体" w:hAnsi="宋体"/>
          <w:b/>
        </w:rPr>
        <w:t>11.1资格审查文件</w:t>
      </w:r>
      <w:r>
        <w:rPr>
          <w:rFonts w:hint="eastAsia"/>
          <w:b/>
        </w:rPr>
        <w:t>（提供正本壹份、副本贰份，单独密封在一个封袋中，在封袋上加盖供应商公章）</w:t>
      </w:r>
    </w:p>
    <w:p>
      <w:pPr>
        <w:snapToGrid w:val="0"/>
        <w:spacing w:line="360" w:lineRule="auto"/>
        <w:ind w:firstLine="567" w:firstLineChars="270"/>
        <w:rPr>
          <w:rFonts w:ascii="宋体" w:hAnsi="宋体"/>
        </w:rPr>
      </w:pPr>
      <w:r>
        <w:rPr>
          <w:rFonts w:hint="eastAsia" w:ascii="宋体" w:hAnsi="宋体"/>
        </w:rPr>
        <w:t>（1）法定代表人参加投标的，必须提供法定代表人身份证明书（原件）。</w:t>
      </w:r>
    </w:p>
    <w:p>
      <w:pPr>
        <w:snapToGrid w:val="0"/>
        <w:spacing w:line="360" w:lineRule="auto"/>
        <w:ind w:firstLine="567" w:firstLineChars="270"/>
        <w:rPr>
          <w:rFonts w:ascii="宋体" w:hAnsi="宋体"/>
        </w:rPr>
      </w:pPr>
      <w:r>
        <w:rPr>
          <w:rFonts w:hint="eastAsia" w:ascii="宋体" w:hAnsi="宋体"/>
        </w:rPr>
        <w:t>（2）非法定代表人参加的，必须提供法定代表人身份证明书及法定代表人亲笔签名的授权委托书（原件）。</w:t>
      </w:r>
    </w:p>
    <w:p>
      <w:pPr>
        <w:snapToGrid w:val="0"/>
        <w:spacing w:line="360" w:lineRule="auto"/>
        <w:ind w:firstLine="567" w:firstLineChars="270"/>
        <w:rPr>
          <w:rFonts w:ascii="宋体" w:hAnsi="宋体"/>
        </w:rPr>
      </w:pPr>
      <w:r>
        <w:rPr>
          <w:rFonts w:hint="eastAsia" w:ascii="宋体" w:hAnsi="宋体"/>
        </w:rPr>
        <w:t>（3）供应商有效的营业执照、组织机构代码证、税务登记证或三证合一的营业执照（复印件）。</w:t>
      </w:r>
    </w:p>
    <w:p>
      <w:pPr>
        <w:snapToGrid w:val="0"/>
        <w:spacing w:line="360" w:lineRule="auto"/>
        <w:ind w:firstLine="567" w:firstLineChars="270"/>
        <w:rPr>
          <w:rFonts w:ascii="宋体" w:hAnsi="宋体"/>
        </w:rPr>
      </w:pPr>
      <w:r>
        <w:rPr>
          <w:rFonts w:hint="eastAsia" w:ascii="宋体" w:hAnsi="宋体"/>
        </w:rPr>
        <w:t>（4）企业资质证书（复印件）。</w:t>
      </w:r>
    </w:p>
    <w:p>
      <w:pPr>
        <w:snapToGrid w:val="0"/>
        <w:spacing w:line="360" w:lineRule="auto"/>
        <w:ind w:firstLine="567" w:firstLineChars="270"/>
        <w:rPr>
          <w:rFonts w:ascii="宋体" w:hAnsi="宋体"/>
        </w:rPr>
      </w:pPr>
      <w:r>
        <w:rPr>
          <w:rFonts w:hint="eastAsia" w:ascii="宋体" w:hAnsi="宋体"/>
        </w:rPr>
        <w:t>（5）企业安全生产许可证（复印件）。</w:t>
      </w:r>
    </w:p>
    <w:p>
      <w:pPr>
        <w:snapToGrid w:val="0"/>
        <w:spacing w:line="360" w:lineRule="auto"/>
        <w:ind w:firstLine="567" w:firstLineChars="270"/>
        <w:rPr>
          <w:rFonts w:ascii="宋体" w:hAnsi="宋体"/>
        </w:rPr>
      </w:pPr>
      <w:r>
        <w:rPr>
          <w:rFonts w:hint="eastAsia" w:ascii="宋体" w:hAnsi="宋体"/>
        </w:rPr>
        <w:t>（6）拟派现场维护人员身份证及资格证书（复印件）。</w:t>
      </w:r>
    </w:p>
    <w:p>
      <w:pPr>
        <w:snapToGrid w:val="0"/>
        <w:spacing w:line="360" w:lineRule="auto"/>
        <w:ind w:firstLine="567" w:firstLineChars="270"/>
        <w:rPr>
          <w:rFonts w:ascii="宋体" w:hAnsi="宋体"/>
        </w:rPr>
      </w:pPr>
      <w:r>
        <w:rPr>
          <w:rFonts w:hint="eastAsia" w:ascii="宋体" w:hAnsi="宋体"/>
        </w:rPr>
        <w:t>（7）拟派项目组所有成员的养老保险证明（复印件）。</w:t>
      </w:r>
    </w:p>
    <w:p>
      <w:pPr>
        <w:snapToGrid w:val="0"/>
        <w:spacing w:line="360" w:lineRule="auto"/>
        <w:ind w:firstLine="567" w:firstLineChars="270"/>
        <w:rPr>
          <w:rFonts w:ascii="宋体" w:hAnsi="宋体"/>
        </w:rPr>
      </w:pPr>
      <w:r>
        <w:rPr>
          <w:rFonts w:hint="eastAsia" w:ascii="宋体" w:hAnsi="宋体"/>
        </w:rPr>
        <w:t>（8）企业2019年度财务状况报告（复印件）（成立不满一年不需提供）。</w:t>
      </w:r>
    </w:p>
    <w:p>
      <w:pPr>
        <w:snapToGrid w:val="0"/>
        <w:spacing w:line="360" w:lineRule="auto"/>
        <w:ind w:firstLine="567" w:firstLineChars="270"/>
        <w:rPr>
          <w:rFonts w:ascii="宋体" w:hAnsi="宋体"/>
        </w:rPr>
      </w:pPr>
      <w:r>
        <w:rPr>
          <w:rFonts w:hint="eastAsia" w:ascii="宋体" w:hAnsi="宋体"/>
        </w:rPr>
        <w:t>（9）依法缴纳税收和社会保障资金的相关材料（复印件）；</w:t>
      </w:r>
    </w:p>
    <w:p>
      <w:pPr>
        <w:snapToGrid w:val="0"/>
        <w:spacing w:line="360" w:lineRule="auto"/>
        <w:ind w:firstLine="567" w:firstLineChars="270"/>
        <w:rPr>
          <w:rFonts w:ascii="宋体" w:hAnsi="宋体"/>
        </w:rPr>
      </w:pPr>
      <w:r>
        <w:rPr>
          <w:rFonts w:hint="eastAsia" w:ascii="宋体" w:hAnsi="宋体"/>
        </w:rPr>
        <w:t>（10）具备履行合同所必需的设备和专业技术能力的证明材料（复印件）；</w:t>
      </w:r>
    </w:p>
    <w:p>
      <w:pPr>
        <w:snapToGrid w:val="0"/>
        <w:spacing w:line="360" w:lineRule="auto"/>
        <w:ind w:firstLine="567" w:firstLineChars="270"/>
        <w:rPr>
          <w:rFonts w:ascii="宋体" w:hAnsi="宋体"/>
        </w:rPr>
      </w:pPr>
      <w:r>
        <w:rPr>
          <w:rFonts w:hint="eastAsia" w:ascii="宋体" w:hAnsi="宋体"/>
        </w:rPr>
        <w:t>（11）须提供参与本次项目采购活动前三年内在经营活动中没有重大违法记录的书面《无重大违法记录声明函》（原件）（须加盖公章）。</w:t>
      </w:r>
    </w:p>
    <w:p>
      <w:pPr>
        <w:snapToGrid w:val="0"/>
        <w:spacing w:line="360" w:lineRule="auto"/>
        <w:ind w:firstLine="567" w:firstLineChars="270"/>
        <w:rPr>
          <w:rFonts w:ascii="宋体" w:hAnsi="宋体"/>
        </w:rPr>
      </w:pPr>
      <w:r>
        <w:rPr>
          <w:rFonts w:hint="eastAsia" w:ascii="宋体" w:hAnsi="宋体"/>
        </w:rPr>
        <w:t>（12）投标单位认为其他必要的材料。</w:t>
      </w:r>
    </w:p>
    <w:p>
      <w:pPr>
        <w:snapToGrid w:val="0"/>
        <w:spacing w:line="360" w:lineRule="auto"/>
        <w:ind w:firstLine="569" w:firstLineChars="270"/>
        <w:rPr>
          <w:rFonts w:ascii="宋体" w:hAnsi="宋体"/>
          <w:b/>
        </w:rPr>
      </w:pPr>
      <w:r>
        <w:rPr>
          <w:rFonts w:hint="eastAsia" w:ascii="宋体" w:hAnsi="宋体"/>
          <w:b/>
        </w:rPr>
        <w:t>注：以上所有材料的复印件必须加盖公章。</w:t>
      </w:r>
    </w:p>
    <w:p>
      <w:pPr>
        <w:snapToGrid w:val="0"/>
        <w:spacing w:line="360" w:lineRule="auto"/>
        <w:ind w:firstLine="435"/>
        <w:rPr>
          <w:rFonts w:asciiTheme="majorEastAsia" w:hAnsiTheme="majorEastAsia" w:eastAsiaTheme="majorEastAsia" w:cstheme="minorBidi"/>
          <w:sz w:val="24"/>
          <w:szCs w:val="22"/>
        </w:rPr>
      </w:pPr>
      <w:r>
        <w:rPr>
          <w:rFonts w:hint="eastAsia" w:ascii="宋体" w:hAnsi="宋体"/>
          <w:b/>
        </w:rPr>
        <w:t>11.2</w:t>
      </w:r>
      <w:r>
        <w:rPr>
          <w:rFonts w:hint="eastAsia" w:asciiTheme="majorEastAsia" w:hAnsiTheme="majorEastAsia" w:eastAsiaTheme="majorEastAsia" w:cstheme="minorBidi"/>
          <w:b/>
          <w:bCs/>
        </w:rPr>
        <w:t>资格审查资料原件包（原件单独密封在一个封袋中，以便在开标时核查，在封袋上加盖供应商公章）</w:t>
      </w:r>
      <w:r>
        <w:rPr>
          <w:rFonts w:hint="eastAsia" w:asciiTheme="majorEastAsia" w:hAnsiTheme="majorEastAsia" w:eastAsiaTheme="majorEastAsia" w:cstheme="minorBidi"/>
        </w:rPr>
        <w:t>：</w:t>
      </w:r>
    </w:p>
    <w:p>
      <w:pPr>
        <w:widowControl/>
        <w:spacing w:line="360" w:lineRule="auto"/>
        <w:ind w:firstLine="411" w:firstLineChars="196"/>
        <w:jc w:val="left"/>
        <w:rPr>
          <w:rFonts w:asciiTheme="majorEastAsia" w:hAnsiTheme="majorEastAsia" w:eastAsiaTheme="majorEastAsia" w:cstheme="minorBidi"/>
        </w:rPr>
      </w:pPr>
      <w:r>
        <w:rPr>
          <w:rFonts w:hint="eastAsia" w:asciiTheme="majorEastAsia" w:hAnsiTheme="majorEastAsia" w:eastAsiaTheme="majorEastAsia" w:cstheme="minorBidi"/>
        </w:rPr>
        <w:t>上述资格审查资料部分（3）-（10）</w:t>
      </w:r>
      <w:r>
        <w:rPr>
          <w:rFonts w:hint="eastAsia" w:cs="宋体" w:asciiTheme="majorEastAsia" w:hAnsiTheme="majorEastAsia" w:eastAsiaTheme="majorEastAsia"/>
          <w:snapToGrid w:val="0"/>
          <w:spacing w:val="2"/>
          <w:kern w:val="0"/>
        </w:rPr>
        <w:t>所有资料</w:t>
      </w:r>
      <w:r>
        <w:rPr>
          <w:rFonts w:hint="eastAsia" w:asciiTheme="majorEastAsia" w:hAnsiTheme="majorEastAsia" w:eastAsiaTheme="majorEastAsia" w:cstheme="minorBidi"/>
        </w:rPr>
        <w:t>原件，</w:t>
      </w:r>
      <w:r>
        <w:rPr>
          <w:rFonts w:hint="eastAsia" w:asciiTheme="majorEastAsia" w:hAnsiTheme="majorEastAsia" w:eastAsiaTheme="majorEastAsia" w:cstheme="minorBidi"/>
          <w:b/>
        </w:rPr>
        <w:t>技术商务标</w:t>
      </w:r>
      <w:r>
        <w:rPr>
          <w:rFonts w:hint="eastAsia" w:asciiTheme="majorEastAsia" w:hAnsiTheme="majorEastAsia" w:eastAsiaTheme="majorEastAsia" w:cstheme="minorBidi"/>
          <w:b/>
          <w:bCs/>
        </w:rPr>
        <w:t>涉及的证书、证明材料、合同等相关原件</w:t>
      </w:r>
      <w:r>
        <w:rPr>
          <w:rFonts w:hint="eastAsia" w:asciiTheme="majorEastAsia" w:hAnsiTheme="majorEastAsia" w:eastAsiaTheme="majorEastAsia" w:cstheme="minorBidi"/>
        </w:rPr>
        <w:t>。</w:t>
      </w:r>
    </w:p>
    <w:p>
      <w:pPr>
        <w:shd w:val="clear" w:color="auto" w:fill="FFFFFF"/>
        <w:adjustRightInd w:val="0"/>
        <w:snapToGrid w:val="0"/>
        <w:spacing w:line="360" w:lineRule="auto"/>
        <w:ind w:firstLine="422" w:firstLineChars="200"/>
        <w:jc w:val="left"/>
        <w:rPr>
          <w:rFonts w:asciiTheme="majorEastAsia" w:hAnsiTheme="majorEastAsia" w:eastAsiaTheme="majorEastAsia" w:cstheme="minorBidi"/>
          <w:b/>
        </w:rPr>
      </w:pPr>
      <w:r>
        <w:rPr>
          <w:rFonts w:hint="eastAsia" w:ascii="宋体" w:hAnsi="宋体"/>
          <w:b/>
        </w:rPr>
        <w:t>11.3</w:t>
      </w:r>
      <w:r>
        <w:rPr>
          <w:rFonts w:hint="eastAsia" w:asciiTheme="majorEastAsia" w:hAnsiTheme="majorEastAsia" w:eastAsiaTheme="majorEastAsia" w:cstheme="minorBidi"/>
          <w:b/>
        </w:rPr>
        <w:t>技术标文件按照招标文件第三章“项目需求”及评标办法填写（提供正本壹份、副本贰份，单独密封在一个封袋中，在封袋上加盖供应商公章）</w:t>
      </w:r>
    </w:p>
    <w:p>
      <w:pPr>
        <w:shd w:val="clear" w:color="auto" w:fill="FFFFFF"/>
        <w:adjustRightInd w:val="0"/>
        <w:snapToGrid w:val="0"/>
        <w:spacing w:line="360" w:lineRule="auto"/>
        <w:ind w:firstLine="420" w:firstLineChars="200"/>
        <w:rPr>
          <w:rFonts w:asciiTheme="majorEastAsia" w:hAnsiTheme="majorEastAsia" w:eastAsiaTheme="majorEastAsia" w:cstheme="minorBidi"/>
        </w:rPr>
      </w:pPr>
      <w:r>
        <w:rPr>
          <w:rFonts w:hint="eastAsia" w:asciiTheme="majorEastAsia" w:hAnsiTheme="majorEastAsia" w:eastAsiaTheme="majorEastAsia" w:cstheme="minorBidi"/>
        </w:rPr>
        <w:t>根据评标办法中涉及的事项，磋商供应商提交相关资料。</w:t>
      </w:r>
    </w:p>
    <w:p>
      <w:pPr>
        <w:snapToGrid w:val="0"/>
        <w:spacing w:line="360" w:lineRule="auto"/>
        <w:ind w:firstLine="435"/>
        <w:rPr>
          <w:rFonts w:cs="宋体" w:asciiTheme="majorEastAsia" w:hAnsiTheme="majorEastAsia" w:eastAsiaTheme="majorEastAsia"/>
          <w:snapToGrid w:val="0"/>
          <w:kern w:val="0"/>
        </w:rPr>
      </w:pPr>
      <w:r>
        <w:rPr>
          <w:rFonts w:hint="eastAsia" w:asciiTheme="majorEastAsia" w:hAnsiTheme="majorEastAsia" w:eastAsiaTheme="majorEastAsia" w:cstheme="minorBidi"/>
          <w:b/>
          <w:bCs/>
        </w:rPr>
        <w:t>以上</w:t>
      </w:r>
      <w:r>
        <w:rPr>
          <w:rFonts w:hint="eastAsia" w:asciiTheme="majorEastAsia" w:hAnsiTheme="majorEastAsia" w:eastAsiaTheme="majorEastAsia" w:cstheme="minorBidi"/>
          <w:b/>
        </w:rPr>
        <w:t>技术标</w:t>
      </w:r>
      <w:r>
        <w:rPr>
          <w:rFonts w:hint="eastAsia" w:asciiTheme="majorEastAsia" w:hAnsiTheme="majorEastAsia" w:eastAsiaTheme="majorEastAsia" w:cstheme="minorBidi"/>
          <w:b/>
          <w:bCs/>
        </w:rPr>
        <w:t>涉及的证书、证明材料、合同等相关原件密封在资格审查资料原件包中带至开标现场。</w:t>
      </w:r>
      <w:r>
        <w:rPr>
          <w:rFonts w:hint="eastAsia" w:asciiTheme="majorEastAsia" w:hAnsiTheme="majorEastAsia" w:eastAsiaTheme="majorEastAsia" w:cstheme="minorBidi"/>
          <w:b/>
        </w:rPr>
        <w:t>因供应商自身原因，在评标工作期间，不能及时、完整、有效提供相关原件以供评委会查询，由此导致不利于投标文件的评审后果由供应商承担。</w:t>
      </w:r>
    </w:p>
    <w:p>
      <w:pPr>
        <w:snapToGrid w:val="0"/>
        <w:spacing w:line="360" w:lineRule="auto"/>
        <w:ind w:firstLine="569" w:firstLineChars="270"/>
        <w:rPr>
          <w:rFonts w:ascii="宋体" w:hAnsi="宋体"/>
          <w:b/>
        </w:rPr>
      </w:pPr>
      <w:r>
        <w:rPr>
          <w:rFonts w:hint="eastAsia" w:ascii="宋体" w:hAnsi="宋体"/>
          <w:b/>
        </w:rPr>
        <w:t>11.4商务标</w:t>
      </w:r>
      <w:r>
        <w:rPr>
          <w:rFonts w:hint="eastAsia"/>
          <w:b/>
        </w:rPr>
        <w:t>包括但不限于以下内容（提供正本壹份、副本贰份，单独密封在一个封袋中，在封袋上加盖供应商公章）</w:t>
      </w:r>
    </w:p>
    <w:p>
      <w:pPr>
        <w:snapToGrid w:val="0"/>
        <w:spacing w:line="360" w:lineRule="auto"/>
        <w:ind w:firstLine="567" w:firstLineChars="270"/>
        <w:rPr>
          <w:rFonts w:ascii="宋体" w:hAnsi="宋体"/>
        </w:rPr>
      </w:pPr>
      <w:r>
        <w:rPr>
          <w:rFonts w:hint="eastAsia" w:ascii="宋体" w:hAnsi="宋体"/>
        </w:rPr>
        <w:t>（1）投标报价函。</w:t>
      </w:r>
    </w:p>
    <w:p>
      <w:pPr>
        <w:snapToGrid w:val="0"/>
        <w:spacing w:line="360" w:lineRule="auto"/>
        <w:ind w:firstLine="567" w:firstLineChars="270"/>
        <w:rPr>
          <w:rFonts w:ascii="宋体" w:hAnsi="宋体"/>
        </w:rPr>
      </w:pPr>
      <w:r>
        <w:rPr>
          <w:rFonts w:hint="eastAsia" w:ascii="宋体" w:hAnsi="宋体"/>
        </w:rPr>
        <w:t>（2）投标报价明细表（格式自拟）。</w:t>
      </w:r>
    </w:p>
    <w:p>
      <w:pPr>
        <w:pStyle w:val="112"/>
        <w:snapToGrid w:val="0"/>
        <w:spacing w:line="360" w:lineRule="auto"/>
        <w:rPr>
          <w:sz w:val="21"/>
          <w:szCs w:val="21"/>
        </w:rPr>
      </w:pPr>
      <w:r>
        <w:rPr>
          <w:rFonts w:hint="eastAsia"/>
          <w:sz w:val="21"/>
          <w:szCs w:val="21"/>
        </w:rPr>
        <w:t>12、 标的物</w:t>
      </w:r>
    </w:p>
    <w:p>
      <w:pPr>
        <w:snapToGrid w:val="0"/>
        <w:spacing w:line="360" w:lineRule="auto"/>
        <w:ind w:firstLine="525" w:firstLineChars="250"/>
        <w:rPr>
          <w:rFonts w:ascii="宋体" w:hAnsi="宋体"/>
        </w:rPr>
      </w:pPr>
      <w:r>
        <w:rPr>
          <w:rFonts w:hint="eastAsia" w:ascii="宋体" w:hAnsi="宋体"/>
        </w:rPr>
        <w:t>详见项目需求。</w:t>
      </w:r>
    </w:p>
    <w:p>
      <w:pPr>
        <w:pStyle w:val="112"/>
        <w:snapToGrid w:val="0"/>
        <w:spacing w:line="360" w:lineRule="auto"/>
        <w:rPr>
          <w:sz w:val="21"/>
          <w:szCs w:val="21"/>
        </w:rPr>
      </w:pPr>
      <w:r>
        <w:rPr>
          <w:rFonts w:hint="eastAsia"/>
          <w:sz w:val="21"/>
          <w:szCs w:val="21"/>
        </w:rPr>
        <w:t>13、有关费用处理</w:t>
      </w:r>
    </w:p>
    <w:p>
      <w:pPr>
        <w:snapToGrid w:val="0"/>
        <w:spacing w:line="360" w:lineRule="auto"/>
        <w:ind w:firstLine="525" w:firstLineChars="250"/>
        <w:rPr>
          <w:rFonts w:ascii="宋体" w:hAnsi="宋体" w:cs="仿宋_GB2312"/>
        </w:rPr>
      </w:pPr>
      <w:r>
        <w:rPr>
          <w:rFonts w:hint="eastAsia" w:ascii="宋体" w:hAnsi="宋体" w:cs="宋体"/>
        </w:rPr>
        <w:t>1、本次投标供应商的总报价</w:t>
      </w:r>
      <w:r>
        <w:rPr>
          <w:rFonts w:hint="eastAsia" w:ascii="宋体" w:hAnsi="宋体" w:cs="仿宋_GB2312"/>
        </w:rPr>
        <w:t>应包含消防系统涉及的日常巡视、检修、维护、保养服务费及企业利润、税金等所有费用及其他与本项目有关的其它费用。</w:t>
      </w:r>
    </w:p>
    <w:p>
      <w:pPr>
        <w:snapToGrid w:val="0"/>
        <w:spacing w:line="420" w:lineRule="exact"/>
        <w:ind w:firstLine="432" w:firstLineChars="206"/>
        <w:rPr>
          <w:rFonts w:ascii="宋体" w:hAnsi="宋体" w:cs="宋体"/>
        </w:rPr>
      </w:pPr>
      <w:r>
        <w:rPr>
          <w:rFonts w:hint="eastAsia" w:ascii="宋体" w:hAnsi="宋体" w:cs="宋体"/>
        </w:rPr>
        <w:t>2、本项目投标报价包含投标供应商为拟派本项目所有人员发放的工资及保险等费用，人员单月工资必须严格执行不得低于南通市关于最低工资标准的规定和相关税收规定，同时报价中须包含投标供应商按国家规定为拟派本项目所有人员缴纳的五项保险；报价经评审，不符合前述要求的按无效投标处理。</w:t>
      </w:r>
    </w:p>
    <w:p>
      <w:pPr>
        <w:snapToGrid w:val="0"/>
        <w:spacing w:line="420" w:lineRule="exact"/>
        <w:ind w:firstLine="432" w:firstLineChars="206"/>
        <w:rPr>
          <w:rFonts w:ascii="宋体" w:hAnsi="宋体" w:cs="宋体"/>
        </w:rPr>
      </w:pPr>
      <w:r>
        <w:rPr>
          <w:rFonts w:hint="eastAsia" w:ascii="宋体" w:hAnsi="宋体" w:cs="宋体"/>
        </w:rPr>
        <w:t>3、本项目涉及人员应按国家相关规定，提供人身安全保险和意外伤害险，所涉费用包含在投标总价中。</w:t>
      </w:r>
    </w:p>
    <w:p>
      <w:pPr>
        <w:snapToGrid w:val="0"/>
        <w:spacing w:line="420" w:lineRule="exact"/>
        <w:ind w:firstLine="432" w:firstLineChars="206"/>
        <w:rPr>
          <w:rFonts w:ascii="宋体" w:hAnsi="宋体" w:cs="宋体"/>
        </w:rPr>
      </w:pPr>
      <w:r>
        <w:rPr>
          <w:rFonts w:hint="eastAsia" w:ascii="宋体" w:hAnsi="宋体" w:cs="宋体"/>
        </w:rPr>
        <w:t>4、投标供应商安排人员加班，其加班费用均包含在投标总价中。</w:t>
      </w:r>
    </w:p>
    <w:p>
      <w:pPr>
        <w:snapToGrid w:val="0"/>
        <w:spacing w:line="420" w:lineRule="exact"/>
        <w:ind w:firstLine="432" w:firstLineChars="206"/>
        <w:rPr>
          <w:rFonts w:ascii="宋体" w:hAnsi="宋体" w:cs="宋体"/>
        </w:rPr>
      </w:pPr>
      <w:r>
        <w:rPr>
          <w:rFonts w:hint="eastAsia" w:ascii="宋体" w:hAnsi="宋体" w:cs="宋体"/>
        </w:rPr>
        <w:t>5、本项目招标代理服务费（含专家评审费）由成交供应商支付，该费用由各供应商自行考虑在投标总价中。</w:t>
      </w:r>
    </w:p>
    <w:p>
      <w:pPr>
        <w:pStyle w:val="112"/>
        <w:snapToGrid w:val="0"/>
        <w:spacing w:line="360" w:lineRule="auto"/>
        <w:rPr>
          <w:sz w:val="21"/>
          <w:szCs w:val="21"/>
        </w:rPr>
      </w:pPr>
      <w:r>
        <w:rPr>
          <w:rFonts w:hint="eastAsia"/>
          <w:sz w:val="21"/>
          <w:szCs w:val="21"/>
        </w:rPr>
        <w:t>14、其它费用处理</w:t>
      </w:r>
    </w:p>
    <w:p>
      <w:pPr>
        <w:snapToGrid w:val="0"/>
        <w:spacing w:line="360" w:lineRule="auto"/>
        <w:ind w:firstLine="525" w:firstLineChars="250"/>
        <w:rPr>
          <w:rFonts w:ascii="宋体" w:hAnsi="宋体"/>
        </w:rPr>
      </w:pPr>
      <w:r>
        <w:rPr>
          <w:rFonts w:hint="eastAsia" w:ascii="宋体" w:hAnsi="宋体"/>
        </w:rPr>
        <w:t>招标文件未列明，而供应商认为必需的费用也需列入报价。</w:t>
      </w:r>
    </w:p>
    <w:p>
      <w:pPr>
        <w:pStyle w:val="112"/>
        <w:snapToGrid w:val="0"/>
        <w:spacing w:line="360" w:lineRule="auto"/>
        <w:rPr>
          <w:sz w:val="21"/>
          <w:szCs w:val="21"/>
        </w:rPr>
      </w:pPr>
      <w:r>
        <w:rPr>
          <w:rFonts w:hint="eastAsia"/>
          <w:sz w:val="21"/>
          <w:szCs w:val="21"/>
        </w:rPr>
        <w:t>15、投标货币</w:t>
      </w:r>
    </w:p>
    <w:p>
      <w:pPr>
        <w:snapToGrid w:val="0"/>
        <w:spacing w:line="360" w:lineRule="auto"/>
        <w:ind w:left="105" w:leftChars="50" w:firstLine="420" w:firstLineChars="200"/>
        <w:rPr>
          <w:rFonts w:ascii="宋体" w:hAnsi="宋体" w:cs="宋体"/>
          <w:bCs/>
        </w:rPr>
      </w:pPr>
      <w:r>
        <w:rPr>
          <w:rFonts w:hint="eastAsia" w:ascii="宋体" w:hAnsi="宋体" w:cs="宋体"/>
          <w:bCs/>
        </w:rPr>
        <w:t>15.1投标文件中的单价和总价，无特殊规定的采用人民币报价，以元为单位标注。招标文件中另有规定的按规定执行。</w:t>
      </w:r>
    </w:p>
    <w:p>
      <w:pPr>
        <w:snapToGrid w:val="0"/>
        <w:spacing w:line="360" w:lineRule="auto"/>
        <w:ind w:firstLine="525" w:firstLineChars="250"/>
        <w:rPr>
          <w:rFonts w:ascii="宋体" w:hAnsi="宋体"/>
        </w:rPr>
      </w:pPr>
      <w:r>
        <w:rPr>
          <w:rFonts w:hint="eastAsia" w:ascii="宋体" w:hAnsi="宋体"/>
        </w:rPr>
        <w:t>15.2</w:t>
      </w:r>
      <w:r>
        <w:rPr>
          <w:rFonts w:hint="eastAsia" w:ascii="宋体" w:hAnsi="宋体" w:cs="宋体"/>
        </w:rPr>
        <w:t>投标函及投标报价明细表</w:t>
      </w:r>
      <w:r>
        <w:rPr>
          <w:rFonts w:hint="eastAsia" w:ascii="宋体" w:hAnsi="宋体" w:cs="宋体"/>
          <w:bCs/>
        </w:rPr>
        <w:t>上的价格应按招标文件规定填写</w:t>
      </w:r>
      <w:r>
        <w:rPr>
          <w:rFonts w:hint="eastAsia" w:ascii="宋体" w:hAnsi="宋体"/>
        </w:rPr>
        <w:t>。</w:t>
      </w:r>
    </w:p>
    <w:p>
      <w:pPr>
        <w:pStyle w:val="112"/>
        <w:snapToGrid w:val="0"/>
        <w:spacing w:line="360" w:lineRule="auto"/>
        <w:rPr>
          <w:sz w:val="21"/>
          <w:szCs w:val="21"/>
        </w:rPr>
      </w:pPr>
      <w:bookmarkStart w:id="76" w:name="_Hlt26670486"/>
      <w:bookmarkEnd w:id="76"/>
      <w:bookmarkStart w:id="77" w:name="_Hlt26954846"/>
      <w:bookmarkEnd w:id="77"/>
      <w:bookmarkStart w:id="78" w:name="_Hlt26670403"/>
      <w:bookmarkEnd w:id="78"/>
      <w:bookmarkStart w:id="79" w:name="_Hlt26668983"/>
      <w:bookmarkEnd w:id="79"/>
      <w:bookmarkStart w:id="80" w:name="_Hlt26954731"/>
      <w:bookmarkEnd w:id="80"/>
      <w:bookmarkStart w:id="81" w:name="_Hlt26954844"/>
      <w:bookmarkEnd w:id="81"/>
      <w:bookmarkStart w:id="82" w:name="_Hlt26670425"/>
      <w:bookmarkEnd w:id="82"/>
      <w:bookmarkStart w:id="83" w:name="_Hlt26954848"/>
      <w:bookmarkEnd w:id="83"/>
      <w:bookmarkStart w:id="84" w:name="_Hlt26954842"/>
      <w:bookmarkEnd w:id="84"/>
      <w:bookmarkStart w:id="85" w:name="_Hlt26670482"/>
      <w:bookmarkEnd w:id="85"/>
      <w:bookmarkStart w:id="86" w:name="_Toc49090510"/>
      <w:bookmarkStart w:id="87" w:name="_Toc14577359"/>
      <w:r>
        <w:rPr>
          <w:rFonts w:hint="eastAsia"/>
          <w:sz w:val="21"/>
          <w:szCs w:val="21"/>
        </w:rPr>
        <w:t>16、投标保证金</w:t>
      </w:r>
      <w:bookmarkEnd w:id="86"/>
      <w:bookmarkEnd w:id="87"/>
    </w:p>
    <w:p>
      <w:pPr>
        <w:snapToGrid w:val="0"/>
        <w:spacing w:line="360" w:lineRule="auto"/>
        <w:ind w:firstLine="525" w:firstLineChars="250"/>
        <w:rPr>
          <w:rFonts w:ascii="宋体" w:hAnsi="宋体"/>
          <w:bCs/>
        </w:rPr>
      </w:pPr>
      <w:r>
        <w:rPr>
          <w:rFonts w:hint="eastAsia" w:ascii="宋体" w:hAnsi="宋体"/>
        </w:rPr>
        <w:t>16.1</w:t>
      </w:r>
      <w:r>
        <w:rPr>
          <w:rFonts w:hint="eastAsia" w:ascii="宋体" w:hAnsi="宋体"/>
          <w:bCs/>
        </w:rPr>
        <w:t xml:space="preserve"> 供应商提交的投标保证金必须在投标截止时间前送达，并作为其投标的组成部分。</w:t>
      </w:r>
    </w:p>
    <w:p>
      <w:pPr>
        <w:snapToGrid w:val="0"/>
        <w:spacing w:line="360" w:lineRule="auto"/>
        <w:ind w:firstLine="525" w:firstLineChars="250"/>
        <w:rPr>
          <w:rFonts w:ascii="宋体" w:hAnsi="宋体"/>
          <w:bCs/>
        </w:rPr>
      </w:pPr>
      <w:r>
        <w:rPr>
          <w:rFonts w:hint="eastAsia" w:ascii="宋体" w:hAnsi="宋体"/>
        </w:rPr>
        <w:t>16.2</w:t>
      </w:r>
      <w:r>
        <w:rPr>
          <w:rFonts w:hint="eastAsia" w:ascii="宋体" w:hAnsi="宋体"/>
          <w:bCs/>
        </w:rPr>
        <w:t>在开标时，未按要求提交投标保证金的投标无效，代理机构拒绝接收其投标文件。</w:t>
      </w:r>
    </w:p>
    <w:p>
      <w:pPr>
        <w:snapToGrid w:val="0"/>
        <w:spacing w:line="360" w:lineRule="auto"/>
        <w:ind w:firstLine="525" w:firstLineChars="250"/>
        <w:rPr>
          <w:rFonts w:ascii="宋体" w:hAnsi="宋体"/>
          <w:b/>
          <w:bCs/>
        </w:rPr>
      </w:pPr>
      <w:r>
        <w:rPr>
          <w:rFonts w:hint="eastAsia" w:ascii="宋体" w:hAnsi="宋体"/>
        </w:rPr>
        <w:t>16.3</w:t>
      </w:r>
      <w:r>
        <w:rPr>
          <w:rFonts w:hint="eastAsia" w:ascii="宋体" w:hAnsi="宋体"/>
          <w:b/>
          <w:bCs/>
        </w:rPr>
        <w:t>未中标的投标保证金，当场退还。</w:t>
      </w:r>
    </w:p>
    <w:p>
      <w:pPr>
        <w:snapToGrid w:val="0"/>
        <w:spacing w:line="360" w:lineRule="auto"/>
        <w:ind w:firstLine="525" w:firstLineChars="250"/>
        <w:rPr>
          <w:rFonts w:ascii="宋体" w:hAnsi="宋体"/>
          <w:bCs/>
        </w:rPr>
      </w:pPr>
      <w:r>
        <w:rPr>
          <w:rFonts w:hint="eastAsia" w:ascii="宋体" w:hAnsi="宋体"/>
        </w:rPr>
        <w:t>16.4</w:t>
      </w:r>
      <w:r>
        <w:rPr>
          <w:rFonts w:hint="eastAsia" w:ascii="宋体" w:hAnsi="宋体"/>
          <w:bCs/>
        </w:rPr>
        <w:t>下列任何情况发生时，投标保证金将不予退还：</w:t>
      </w:r>
    </w:p>
    <w:p>
      <w:pPr>
        <w:snapToGrid w:val="0"/>
        <w:spacing w:line="360" w:lineRule="auto"/>
        <w:ind w:firstLine="420" w:firstLineChars="200"/>
        <w:rPr>
          <w:rFonts w:ascii="宋体" w:hAnsi="宋体"/>
          <w:bCs/>
        </w:rPr>
      </w:pPr>
      <w:r>
        <w:rPr>
          <w:rFonts w:hint="eastAsia" w:ascii="宋体" w:hAnsi="宋体"/>
          <w:bCs/>
        </w:rPr>
        <w:t>（1）供应商在投标有效期内撤回其投标；</w:t>
      </w:r>
    </w:p>
    <w:p>
      <w:pPr>
        <w:snapToGrid w:val="0"/>
        <w:spacing w:line="360" w:lineRule="auto"/>
        <w:ind w:firstLine="420" w:firstLineChars="200"/>
        <w:rPr>
          <w:rFonts w:ascii="宋体" w:hAnsi="宋体"/>
          <w:bCs/>
        </w:rPr>
      </w:pPr>
      <w:r>
        <w:rPr>
          <w:rFonts w:hint="eastAsia" w:ascii="宋体" w:hAnsi="宋体"/>
          <w:bCs/>
        </w:rPr>
        <w:t>（2）供应商提供的有关资料、资格证明文件被确认是不真实的；</w:t>
      </w:r>
    </w:p>
    <w:p>
      <w:pPr>
        <w:snapToGrid w:val="0"/>
        <w:spacing w:line="360" w:lineRule="auto"/>
        <w:ind w:firstLine="420" w:firstLineChars="200"/>
        <w:rPr>
          <w:rFonts w:ascii="宋体" w:hAnsi="宋体"/>
        </w:rPr>
      </w:pPr>
      <w:r>
        <w:rPr>
          <w:rFonts w:hint="eastAsia" w:ascii="宋体" w:hAnsi="宋体"/>
        </w:rPr>
        <w:t>（3）供应商之间被证实有串通（统一哄抬价格）、欺诈行为；</w:t>
      </w:r>
    </w:p>
    <w:p>
      <w:pPr>
        <w:snapToGrid w:val="0"/>
        <w:spacing w:line="360" w:lineRule="auto"/>
        <w:ind w:left="1" w:firstLine="417" w:firstLineChars="199"/>
        <w:rPr>
          <w:rFonts w:ascii="宋体" w:hAnsi="宋体"/>
        </w:rPr>
      </w:pPr>
      <w:r>
        <w:rPr>
          <w:rFonts w:hint="eastAsia" w:ascii="宋体" w:hAnsi="宋体"/>
        </w:rPr>
        <w:t>（4）供应商被证明有妨碍其他人公平竞争、损害代理机构或者其他供应商合法权益的；</w:t>
      </w:r>
    </w:p>
    <w:p>
      <w:pPr>
        <w:pStyle w:val="112"/>
        <w:snapToGrid w:val="0"/>
        <w:spacing w:line="360" w:lineRule="auto"/>
        <w:rPr>
          <w:sz w:val="21"/>
          <w:szCs w:val="21"/>
        </w:rPr>
      </w:pPr>
      <w:bookmarkStart w:id="88" w:name="_Hlt26954850"/>
      <w:bookmarkEnd w:id="88"/>
      <w:bookmarkStart w:id="89" w:name="_Hlt26670489"/>
      <w:bookmarkEnd w:id="89"/>
      <w:bookmarkStart w:id="90" w:name="_Hlt26954734"/>
      <w:bookmarkEnd w:id="90"/>
      <w:bookmarkStart w:id="91" w:name="_Toc49090511"/>
      <w:bookmarkStart w:id="92" w:name="_Toc14577360"/>
      <w:r>
        <w:rPr>
          <w:rFonts w:hint="eastAsia"/>
          <w:sz w:val="21"/>
          <w:szCs w:val="21"/>
        </w:rPr>
        <w:t>17、投标有效期</w:t>
      </w:r>
      <w:bookmarkEnd w:id="91"/>
      <w:bookmarkEnd w:id="92"/>
    </w:p>
    <w:p>
      <w:pPr>
        <w:snapToGrid w:val="0"/>
        <w:spacing w:line="360" w:lineRule="auto"/>
        <w:ind w:firstLine="420" w:firstLineChars="200"/>
        <w:rPr>
          <w:rFonts w:ascii="宋体" w:hAnsi="宋体"/>
          <w:bCs/>
        </w:rPr>
      </w:pPr>
      <w:r>
        <w:rPr>
          <w:rFonts w:hint="eastAsia" w:ascii="宋体" w:hAnsi="宋体"/>
        </w:rPr>
        <w:t>17.1</w:t>
      </w:r>
      <w:r>
        <w:rPr>
          <w:rFonts w:hint="eastAsia" w:ascii="宋体" w:hAnsi="宋体"/>
          <w:bCs/>
        </w:rPr>
        <w:t xml:space="preserve"> 投标有效期为代理机构规定的开标之日后</w:t>
      </w:r>
      <w:r>
        <w:rPr>
          <w:rFonts w:hint="eastAsia" w:ascii="宋体" w:hAnsi="宋体"/>
          <w:bCs/>
          <w:u w:val="single"/>
        </w:rPr>
        <w:t xml:space="preserve"> </w:t>
      </w:r>
      <w:r>
        <w:rPr>
          <w:rFonts w:hint="eastAsia" w:ascii="宋体" w:hAnsi="宋体"/>
          <w:b/>
          <w:u w:val="single"/>
        </w:rPr>
        <w:t>45天</w:t>
      </w:r>
      <w:r>
        <w:rPr>
          <w:rFonts w:hint="eastAsia" w:ascii="宋体" w:hAnsi="宋体"/>
          <w:bCs/>
        </w:rPr>
        <w:t>。</w:t>
      </w:r>
    </w:p>
    <w:p>
      <w:pPr>
        <w:pStyle w:val="112"/>
        <w:snapToGrid w:val="0"/>
        <w:spacing w:line="360" w:lineRule="auto"/>
        <w:rPr>
          <w:sz w:val="21"/>
          <w:szCs w:val="21"/>
        </w:rPr>
      </w:pPr>
      <w:bookmarkStart w:id="93" w:name="_Hlt26954852"/>
      <w:bookmarkEnd w:id="93"/>
      <w:bookmarkStart w:id="94" w:name="_Hlt26954739"/>
      <w:bookmarkEnd w:id="94"/>
      <w:bookmarkStart w:id="95" w:name="_Toc14577361"/>
      <w:bookmarkStart w:id="96" w:name="_Toc49090512"/>
      <w:r>
        <w:rPr>
          <w:rFonts w:hint="eastAsia"/>
          <w:sz w:val="21"/>
          <w:szCs w:val="21"/>
        </w:rPr>
        <w:t>18、投标文件份数和签署</w:t>
      </w:r>
      <w:bookmarkEnd w:id="95"/>
      <w:bookmarkEnd w:id="96"/>
    </w:p>
    <w:p>
      <w:pPr>
        <w:snapToGrid w:val="0"/>
        <w:spacing w:line="360" w:lineRule="auto"/>
        <w:ind w:firstLine="420" w:firstLineChars="200"/>
        <w:rPr>
          <w:rFonts w:ascii="宋体" w:hAnsi="宋体"/>
        </w:rPr>
      </w:pPr>
      <w:r>
        <w:rPr>
          <w:rFonts w:hint="eastAsia" w:ascii="宋体" w:hAnsi="宋体"/>
        </w:rPr>
        <w:t>18.1 供应商应严格按照招标公告要求的份数准备投标文件，每份投标文件须清楚地标明“正本”或“副本”字样。一旦正本和副本不符，以正本为准。</w:t>
      </w:r>
    </w:p>
    <w:p>
      <w:pPr>
        <w:snapToGrid w:val="0"/>
        <w:spacing w:line="360" w:lineRule="auto"/>
        <w:ind w:firstLine="420" w:firstLineChars="200"/>
        <w:rPr>
          <w:rFonts w:ascii="宋体" w:hAnsi="宋体"/>
          <w:bCs/>
        </w:rPr>
      </w:pPr>
      <w:r>
        <w:rPr>
          <w:rFonts w:hint="eastAsia" w:ascii="宋体" w:hAnsi="宋体"/>
        </w:rPr>
        <w:t>18.2</w:t>
      </w:r>
      <w:r>
        <w:rPr>
          <w:rFonts w:hint="eastAsia" w:ascii="宋体" w:hAnsi="宋体"/>
          <w:b/>
        </w:rPr>
        <w:t xml:space="preserve"> </w:t>
      </w:r>
      <w:r>
        <w:rPr>
          <w:rFonts w:hint="eastAsia" w:ascii="宋体" w:hAnsi="宋体"/>
        </w:rPr>
        <w:t>投标文件正本中，除采购文件规定的可提交复印件外，其他文件均须提交原件，文字材料需打印或用不褪色墨水书写。</w:t>
      </w:r>
      <w:r>
        <w:rPr>
          <w:rFonts w:hint="eastAsia" w:ascii="宋体" w:hAnsi="宋体"/>
          <w:b/>
        </w:rPr>
        <w:t xml:space="preserve">投标文件的正本须经法定代表人或授权代表签署和加盖供应商公章。 </w:t>
      </w:r>
      <w:r>
        <w:rPr>
          <w:rFonts w:hint="eastAsia" w:ascii="宋体" w:hAnsi="宋体"/>
        </w:rPr>
        <w:t>本采购文件所表述（指定）的公章是指法定名称章，不包括合同专用章、业务专用章等印章。</w:t>
      </w:r>
    </w:p>
    <w:p>
      <w:pPr>
        <w:snapToGrid w:val="0"/>
        <w:spacing w:line="360" w:lineRule="auto"/>
        <w:ind w:firstLine="420" w:firstLineChars="200"/>
        <w:rPr>
          <w:rFonts w:ascii="宋体" w:hAnsi="宋体"/>
          <w:bCs/>
        </w:rPr>
      </w:pPr>
      <w:r>
        <w:rPr>
          <w:rFonts w:hint="eastAsia" w:ascii="宋体" w:hAnsi="宋体"/>
        </w:rPr>
        <w:t>18.3</w:t>
      </w:r>
      <w:r>
        <w:rPr>
          <w:rFonts w:hint="eastAsia" w:ascii="宋体" w:hAnsi="宋体"/>
          <w:bCs/>
        </w:rPr>
        <w:t xml:space="preserve"> 除供应商对错处做必要修改外，投标文件不得行间插字、涂改或增删。如有修改错漏处，必须由投标文件签署人签字或盖章。</w:t>
      </w:r>
    </w:p>
    <w:p>
      <w:pPr>
        <w:snapToGrid w:val="0"/>
        <w:spacing w:line="360" w:lineRule="auto"/>
        <w:ind w:firstLine="420" w:firstLineChars="200"/>
        <w:rPr>
          <w:rFonts w:ascii="宋体" w:hAnsi="宋体"/>
          <w:bCs/>
        </w:rPr>
      </w:pPr>
    </w:p>
    <w:p>
      <w:pPr>
        <w:snapToGrid w:val="0"/>
        <w:spacing w:line="360" w:lineRule="auto"/>
        <w:jc w:val="center"/>
        <w:outlineLvl w:val="1"/>
        <w:rPr>
          <w:rFonts w:ascii="宋体" w:hAnsi="宋体"/>
          <w:b/>
          <w:sz w:val="30"/>
          <w:szCs w:val="30"/>
        </w:rPr>
      </w:pPr>
      <w:bookmarkStart w:id="97" w:name="_Toc16938540"/>
      <w:bookmarkStart w:id="98" w:name="_Toc120614217"/>
      <w:bookmarkStart w:id="99" w:name="_Toc20823296"/>
      <w:bookmarkStart w:id="100" w:name="_Toc513029224"/>
      <w:r>
        <w:rPr>
          <w:rFonts w:hint="eastAsia" w:ascii="宋体" w:hAnsi="宋体"/>
          <w:b/>
          <w:sz w:val="30"/>
          <w:szCs w:val="30"/>
        </w:rPr>
        <w:t xml:space="preserve">    四、投标文件的递交</w:t>
      </w:r>
      <w:bookmarkEnd w:id="97"/>
      <w:bookmarkEnd w:id="98"/>
      <w:bookmarkEnd w:id="99"/>
      <w:bookmarkEnd w:id="100"/>
      <w:bookmarkStart w:id="101" w:name="_Toc387526399"/>
      <w:bookmarkStart w:id="102" w:name="_Toc27481"/>
      <w:bookmarkStart w:id="103" w:name="_Toc397928574"/>
      <w:bookmarkStart w:id="104" w:name="_Toc387526203"/>
      <w:bookmarkStart w:id="105" w:name="_Toc387526307"/>
      <w:bookmarkStart w:id="106" w:name="_Toc120614218"/>
      <w:bookmarkStart w:id="107" w:name="_Toc16938545"/>
      <w:bookmarkStart w:id="108" w:name="_Toc20823301"/>
      <w:bookmarkStart w:id="109" w:name="_Toc513029229"/>
    </w:p>
    <w:p>
      <w:pPr>
        <w:pStyle w:val="112"/>
        <w:snapToGrid w:val="0"/>
        <w:spacing w:line="360" w:lineRule="auto"/>
        <w:rPr>
          <w:sz w:val="21"/>
          <w:szCs w:val="21"/>
        </w:rPr>
      </w:pPr>
      <w:r>
        <w:rPr>
          <w:rFonts w:hint="eastAsia"/>
          <w:sz w:val="21"/>
          <w:szCs w:val="21"/>
        </w:rPr>
        <w:t>19、投标文件的密封和标记</w:t>
      </w:r>
      <w:bookmarkEnd w:id="101"/>
      <w:bookmarkEnd w:id="102"/>
      <w:bookmarkEnd w:id="103"/>
      <w:bookmarkEnd w:id="104"/>
      <w:bookmarkEnd w:id="105"/>
    </w:p>
    <w:p>
      <w:pPr>
        <w:snapToGrid w:val="0"/>
        <w:spacing w:line="360" w:lineRule="auto"/>
        <w:ind w:firstLine="420" w:firstLineChars="200"/>
        <w:rPr>
          <w:rFonts w:ascii="宋体" w:hAnsi="宋体"/>
        </w:rPr>
      </w:pPr>
      <w:bookmarkStart w:id="110" w:name="_Toc387526308"/>
      <w:bookmarkStart w:id="111" w:name="_Toc7888"/>
      <w:bookmarkStart w:id="112" w:name="_Toc397928575"/>
      <w:bookmarkStart w:id="113" w:name="_Toc387526400"/>
      <w:bookmarkStart w:id="114" w:name="_Toc387526204"/>
      <w:r>
        <w:rPr>
          <w:rFonts w:hint="eastAsia" w:ascii="宋体" w:hAnsi="宋体"/>
        </w:rPr>
        <w:t>19.1供应商应准备</w:t>
      </w:r>
      <w:r>
        <w:rPr>
          <w:rFonts w:hint="eastAsia" w:ascii="宋体" w:hAnsi="宋体"/>
          <w:u w:val="single"/>
        </w:rPr>
        <w:t xml:space="preserve"> </w:t>
      </w:r>
      <w:r>
        <w:rPr>
          <w:rFonts w:hint="eastAsia" w:ascii="宋体" w:hAnsi="宋体"/>
          <w:b/>
          <w:u w:val="single"/>
        </w:rPr>
        <w:t xml:space="preserve">叁 </w:t>
      </w:r>
      <w:r>
        <w:rPr>
          <w:rFonts w:hint="eastAsia" w:ascii="宋体" w:hAnsi="宋体"/>
        </w:rPr>
        <w:t>份完整的投标文件，其中正本</w:t>
      </w:r>
      <w:r>
        <w:rPr>
          <w:rFonts w:hint="eastAsia" w:ascii="宋体" w:hAnsi="宋体"/>
          <w:b/>
          <w:u w:val="single"/>
        </w:rPr>
        <w:t xml:space="preserve"> 壹 </w:t>
      </w:r>
      <w:r>
        <w:rPr>
          <w:rFonts w:hint="eastAsia" w:ascii="宋体" w:hAnsi="宋体"/>
        </w:rPr>
        <w:t>份，副本</w:t>
      </w:r>
      <w:r>
        <w:rPr>
          <w:rFonts w:hint="eastAsia" w:ascii="宋体" w:hAnsi="宋体"/>
          <w:u w:val="single"/>
        </w:rPr>
        <w:t xml:space="preserve"> </w:t>
      </w:r>
      <w:r>
        <w:rPr>
          <w:rFonts w:hint="eastAsia" w:ascii="宋体" w:hAnsi="宋体"/>
          <w:b/>
          <w:u w:val="single"/>
        </w:rPr>
        <w:t>贰</w:t>
      </w:r>
      <w:r>
        <w:rPr>
          <w:rFonts w:hint="eastAsia" w:ascii="宋体" w:hAnsi="宋体"/>
          <w:u w:val="single"/>
        </w:rPr>
        <w:t xml:space="preserve"> </w:t>
      </w:r>
      <w:r>
        <w:rPr>
          <w:rFonts w:hint="eastAsia" w:ascii="宋体" w:hAnsi="宋体"/>
        </w:rPr>
        <w:t>份，并标明“正本”或“副本”字样。</w:t>
      </w:r>
    </w:p>
    <w:p>
      <w:pPr>
        <w:snapToGrid w:val="0"/>
        <w:spacing w:line="360" w:lineRule="auto"/>
        <w:ind w:firstLine="420" w:firstLineChars="200"/>
        <w:rPr>
          <w:rFonts w:ascii="宋体" w:hAnsi="宋体"/>
          <w:b/>
        </w:rPr>
      </w:pPr>
      <w:r>
        <w:rPr>
          <w:rFonts w:hint="eastAsia" w:ascii="宋体" w:hAnsi="宋体"/>
        </w:rPr>
        <w:t>19.2  投标文件</w:t>
      </w:r>
      <w:r>
        <w:rPr>
          <w:rFonts w:hint="eastAsia" w:ascii="宋体" w:hAnsi="宋体"/>
          <w:b/>
        </w:rPr>
        <w:t>应密封，并在封套和投标文件封面上写明项目名称及供应商名称。</w:t>
      </w:r>
    </w:p>
    <w:p>
      <w:pPr>
        <w:pStyle w:val="112"/>
        <w:snapToGrid w:val="0"/>
        <w:spacing w:line="360" w:lineRule="auto"/>
        <w:rPr>
          <w:sz w:val="21"/>
          <w:szCs w:val="21"/>
        </w:rPr>
      </w:pPr>
      <w:r>
        <w:rPr>
          <w:sz w:val="21"/>
          <w:szCs w:val="21"/>
        </w:rPr>
        <w:t>20、投标文件的递交</w:t>
      </w:r>
      <w:bookmarkEnd w:id="110"/>
      <w:bookmarkEnd w:id="111"/>
      <w:bookmarkEnd w:id="112"/>
      <w:bookmarkEnd w:id="113"/>
      <w:bookmarkEnd w:id="114"/>
    </w:p>
    <w:p>
      <w:pPr>
        <w:snapToGrid w:val="0"/>
        <w:spacing w:line="360" w:lineRule="auto"/>
        <w:ind w:firstLine="424" w:firstLineChars="202"/>
        <w:rPr>
          <w:rFonts w:ascii="宋体" w:hAnsi="宋体"/>
        </w:rPr>
      </w:pPr>
      <w:r>
        <w:rPr>
          <w:rFonts w:hint="eastAsia" w:ascii="宋体" w:hAnsi="宋体"/>
        </w:rPr>
        <w:t>20.1 供应商应在供应商须知前附表规定的投标截止时间前递交投标文件。</w:t>
      </w:r>
    </w:p>
    <w:p>
      <w:pPr>
        <w:snapToGrid w:val="0"/>
        <w:spacing w:line="360" w:lineRule="auto"/>
        <w:ind w:firstLine="424" w:firstLineChars="202"/>
        <w:rPr>
          <w:rFonts w:ascii="宋体" w:hAnsi="宋体"/>
        </w:rPr>
      </w:pPr>
      <w:r>
        <w:rPr>
          <w:rFonts w:hint="eastAsia" w:ascii="宋体" w:hAnsi="宋体"/>
        </w:rPr>
        <w:t>20.2 供应商递交投标文件的地点：见供应商须知前附表。</w:t>
      </w:r>
    </w:p>
    <w:p>
      <w:pPr>
        <w:snapToGrid w:val="0"/>
        <w:spacing w:line="360" w:lineRule="auto"/>
        <w:ind w:firstLine="424" w:firstLineChars="202"/>
        <w:rPr>
          <w:rFonts w:ascii="宋体" w:hAnsi="宋体"/>
        </w:rPr>
      </w:pPr>
      <w:r>
        <w:rPr>
          <w:rFonts w:hint="eastAsia" w:ascii="宋体" w:hAnsi="宋体"/>
        </w:rPr>
        <w:t>20.3 除供应商须知前附表另有规定外，供应商所递交的投标文件不予退还。</w:t>
      </w:r>
    </w:p>
    <w:p>
      <w:pPr>
        <w:pStyle w:val="112"/>
        <w:snapToGrid w:val="0"/>
        <w:spacing w:line="360" w:lineRule="auto"/>
        <w:rPr>
          <w:sz w:val="21"/>
          <w:szCs w:val="21"/>
        </w:rPr>
      </w:pPr>
      <w:bookmarkStart w:id="115" w:name="_Toc387526401"/>
      <w:bookmarkStart w:id="116" w:name="_Toc387526205"/>
      <w:bookmarkStart w:id="117" w:name="_Toc387526309"/>
      <w:bookmarkStart w:id="118" w:name="_Toc12008"/>
      <w:bookmarkStart w:id="119" w:name="_Toc397928576"/>
      <w:r>
        <w:rPr>
          <w:rFonts w:hint="eastAsia"/>
          <w:sz w:val="21"/>
          <w:szCs w:val="21"/>
        </w:rPr>
        <w:t>21、投标文件的修改与撤回</w:t>
      </w:r>
      <w:bookmarkEnd w:id="115"/>
      <w:bookmarkEnd w:id="116"/>
      <w:bookmarkEnd w:id="117"/>
      <w:bookmarkEnd w:id="118"/>
      <w:bookmarkEnd w:id="119"/>
    </w:p>
    <w:p>
      <w:pPr>
        <w:snapToGrid w:val="0"/>
        <w:spacing w:line="360" w:lineRule="auto"/>
        <w:ind w:firstLine="424" w:firstLineChars="202"/>
        <w:rPr>
          <w:rFonts w:ascii="宋体" w:hAnsi="宋体"/>
        </w:rPr>
      </w:pPr>
      <w:r>
        <w:rPr>
          <w:rFonts w:hint="eastAsia" w:ascii="宋体" w:hAnsi="宋体"/>
        </w:rPr>
        <w:t>21.1 在供应商须知前附表规定的投标截止时间前，供应商可以修改或撤回已递交的投标文件，但应以书面形式通知采购人。</w:t>
      </w:r>
    </w:p>
    <w:p>
      <w:pPr>
        <w:snapToGrid w:val="0"/>
        <w:spacing w:line="360" w:lineRule="auto"/>
        <w:ind w:firstLine="424" w:firstLineChars="202"/>
        <w:rPr>
          <w:rFonts w:ascii="宋体" w:hAnsi="宋体"/>
        </w:rPr>
      </w:pPr>
      <w:r>
        <w:rPr>
          <w:rFonts w:hint="eastAsia" w:ascii="宋体" w:hAnsi="宋体"/>
        </w:rPr>
        <w:t>21.2供应商修改或撤回已递交投标文件的书面通知应按照本章第18.3项的要求签字或盖章。采购人收到书面通知后，向供应商出具签收凭证。</w:t>
      </w:r>
    </w:p>
    <w:p>
      <w:pPr>
        <w:snapToGrid w:val="0"/>
        <w:spacing w:line="360" w:lineRule="auto"/>
        <w:ind w:firstLine="424" w:firstLineChars="202"/>
        <w:rPr>
          <w:rFonts w:ascii="宋体" w:hAnsi="宋体"/>
        </w:rPr>
      </w:pPr>
      <w:r>
        <w:rPr>
          <w:rFonts w:hint="eastAsia" w:ascii="宋体" w:hAnsi="宋体"/>
        </w:rPr>
        <w:t>21.3 修改的内容为投标文件的组成部分。修改的投标文件应按照本章第18.3条规定进行编制、密封、标记和递交，并标明“修改”字样。</w:t>
      </w:r>
    </w:p>
    <w:p>
      <w:pPr>
        <w:pStyle w:val="112"/>
        <w:snapToGrid w:val="0"/>
        <w:spacing w:line="360" w:lineRule="auto"/>
        <w:rPr>
          <w:sz w:val="21"/>
          <w:szCs w:val="21"/>
        </w:rPr>
      </w:pPr>
      <w:bookmarkStart w:id="120" w:name="_Toc11740"/>
      <w:bookmarkStart w:id="121" w:name="_Toc397928577"/>
      <w:r>
        <w:rPr>
          <w:rFonts w:hint="eastAsia"/>
          <w:sz w:val="21"/>
          <w:szCs w:val="21"/>
        </w:rPr>
        <w:t>22、不予接收的投标文件</w:t>
      </w:r>
      <w:bookmarkEnd w:id="120"/>
      <w:bookmarkEnd w:id="121"/>
    </w:p>
    <w:p>
      <w:pPr>
        <w:snapToGrid w:val="0"/>
        <w:spacing w:line="360" w:lineRule="auto"/>
        <w:ind w:firstLine="424" w:firstLineChars="202"/>
        <w:rPr>
          <w:rFonts w:ascii="宋体" w:hAnsi="宋体"/>
        </w:rPr>
      </w:pPr>
      <w:r>
        <w:rPr>
          <w:rFonts w:hint="eastAsia" w:ascii="宋体" w:hAnsi="宋体"/>
        </w:rPr>
        <w:t>22.1未按本章第19款规定密封的投标文件，采购人不予接收。</w:t>
      </w:r>
    </w:p>
    <w:p>
      <w:pPr>
        <w:snapToGrid w:val="0"/>
        <w:spacing w:line="360" w:lineRule="auto"/>
        <w:ind w:firstLine="424" w:firstLineChars="202"/>
        <w:rPr>
          <w:rFonts w:ascii="宋体" w:hAnsi="宋体"/>
        </w:rPr>
      </w:pPr>
      <w:r>
        <w:rPr>
          <w:rFonts w:hint="eastAsia" w:ascii="宋体" w:hAnsi="宋体"/>
        </w:rPr>
        <w:t>22.2逾期送达或者未送达指定地点的投标文件，采购人不予接收。</w:t>
      </w:r>
    </w:p>
    <w:p>
      <w:pPr>
        <w:snapToGrid w:val="0"/>
        <w:spacing w:line="360" w:lineRule="auto"/>
        <w:ind w:firstLine="424" w:firstLineChars="202"/>
        <w:rPr>
          <w:rFonts w:ascii="宋体" w:hAnsi="宋体"/>
        </w:rPr>
      </w:pPr>
      <w:r>
        <w:rPr>
          <w:rFonts w:hint="eastAsia" w:ascii="宋体" w:hAnsi="宋体"/>
        </w:rPr>
        <w:t>22.3未按招标文件要求递交投标保证金的，采购人不予接收。</w:t>
      </w:r>
    </w:p>
    <w:p>
      <w:pPr>
        <w:snapToGrid w:val="0"/>
        <w:spacing w:line="360" w:lineRule="auto"/>
        <w:ind w:firstLine="420"/>
        <w:rPr>
          <w:rFonts w:ascii="宋体" w:hAnsi="宋体"/>
          <w:b/>
          <w:sz w:val="23"/>
          <w:szCs w:val="23"/>
        </w:rPr>
      </w:pPr>
    </w:p>
    <w:p>
      <w:pPr>
        <w:snapToGrid w:val="0"/>
        <w:spacing w:line="360" w:lineRule="auto"/>
        <w:jc w:val="center"/>
        <w:outlineLvl w:val="1"/>
        <w:rPr>
          <w:rFonts w:ascii="宋体" w:hAnsi="宋体"/>
          <w:b/>
          <w:sz w:val="30"/>
          <w:szCs w:val="30"/>
        </w:rPr>
      </w:pPr>
      <w:r>
        <w:rPr>
          <w:rFonts w:hint="eastAsia" w:ascii="宋体" w:hAnsi="宋体"/>
          <w:b/>
          <w:sz w:val="30"/>
          <w:szCs w:val="30"/>
        </w:rPr>
        <w:t>五、开标与评标</w:t>
      </w:r>
      <w:bookmarkEnd w:id="106"/>
      <w:bookmarkEnd w:id="107"/>
      <w:bookmarkEnd w:id="108"/>
      <w:bookmarkEnd w:id="109"/>
    </w:p>
    <w:p>
      <w:pPr>
        <w:pStyle w:val="112"/>
        <w:snapToGrid w:val="0"/>
        <w:spacing w:line="360" w:lineRule="auto"/>
        <w:rPr>
          <w:sz w:val="21"/>
          <w:szCs w:val="21"/>
        </w:rPr>
      </w:pPr>
      <w:bookmarkStart w:id="122" w:name="_Toc16938546"/>
      <w:bookmarkStart w:id="123" w:name="_Toc513029230"/>
      <w:bookmarkStart w:id="124" w:name="_Toc20823302"/>
      <w:r>
        <w:rPr>
          <w:rFonts w:hint="eastAsia"/>
          <w:sz w:val="21"/>
          <w:szCs w:val="21"/>
        </w:rPr>
        <w:t>23、开标</w:t>
      </w:r>
      <w:bookmarkEnd w:id="122"/>
      <w:bookmarkEnd w:id="123"/>
      <w:bookmarkEnd w:id="124"/>
    </w:p>
    <w:p>
      <w:pPr>
        <w:snapToGrid w:val="0"/>
        <w:spacing w:line="360" w:lineRule="auto"/>
        <w:ind w:firstLine="420" w:firstLineChars="200"/>
        <w:rPr>
          <w:rFonts w:ascii="宋体" w:hAnsi="宋体"/>
          <w:b/>
          <w:bCs/>
        </w:rPr>
      </w:pPr>
      <w:r>
        <w:rPr>
          <w:rFonts w:hint="eastAsia" w:ascii="宋体" w:hAnsi="宋体"/>
          <w:bCs/>
        </w:rPr>
        <w:t>23.1 代理机构将在招标公告中规定的时间和地点组织公开开标。</w:t>
      </w:r>
      <w:r>
        <w:rPr>
          <w:rFonts w:hint="eastAsia" w:ascii="宋体" w:hAnsi="宋体"/>
          <w:b/>
          <w:bCs/>
        </w:rPr>
        <w:t>供应商的法定代表人（或其授权代理人）必须携带本人身份证原件、法定代表人身份证明（或授权委托书）原件参加开标会议。否则，其投标不予受理。注：法定代表人身份证明（或授权委托书）除装订在资格审文件中，</w:t>
      </w:r>
      <w:r>
        <w:rPr>
          <w:rFonts w:hint="eastAsia" w:ascii="宋体" w:hAnsi="宋体"/>
          <w:b/>
          <w:bCs/>
          <w:u w:val="single"/>
        </w:rPr>
        <w:t>另需准备一份在投标时随身携带</w:t>
      </w:r>
      <w:r>
        <w:rPr>
          <w:rFonts w:hint="eastAsia" w:ascii="宋体" w:hAnsi="宋体"/>
          <w:b/>
          <w:bCs/>
        </w:rPr>
        <w:t>。</w:t>
      </w:r>
    </w:p>
    <w:p>
      <w:pPr>
        <w:snapToGrid w:val="0"/>
        <w:spacing w:line="360" w:lineRule="auto"/>
        <w:ind w:firstLine="420" w:firstLineChars="200"/>
        <w:rPr>
          <w:rFonts w:ascii="宋体" w:hAnsi="宋体"/>
          <w:bCs/>
        </w:rPr>
      </w:pPr>
      <w:r>
        <w:rPr>
          <w:rFonts w:hint="eastAsia" w:ascii="宋体" w:hAnsi="宋体"/>
          <w:bCs/>
        </w:rPr>
        <w:t>23.2开标仪式由代理机构组织，采购人代表、供应商代表、公证员（必要时）、监管代表（必要时）等参加。</w:t>
      </w:r>
    </w:p>
    <w:p>
      <w:pPr>
        <w:snapToGrid w:val="0"/>
        <w:spacing w:line="360" w:lineRule="auto"/>
        <w:ind w:firstLine="420" w:firstLineChars="200"/>
        <w:rPr>
          <w:rFonts w:ascii="宋体" w:hAnsi="宋体"/>
          <w:bCs/>
        </w:rPr>
      </w:pPr>
      <w:r>
        <w:rPr>
          <w:rFonts w:hint="eastAsia" w:ascii="宋体" w:hAnsi="宋体"/>
          <w:bCs/>
        </w:rPr>
        <w:t>23.3 按照规定同意撤回的投标将不予开封。</w:t>
      </w:r>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3</w:t>
      </w:r>
      <w:r>
        <w:rPr>
          <w:rFonts w:ascii="宋体" w:hAnsi="宋体"/>
          <w:bCs/>
        </w:rPr>
        <w:t>.</w:t>
      </w:r>
      <w:r>
        <w:rPr>
          <w:rFonts w:hint="eastAsia" w:ascii="宋体" w:hAnsi="宋体"/>
          <w:bCs/>
        </w:rPr>
        <w:t>4 开标时请公证人员或供应商代表或监管代表查验投标文件密封情况，确认无误后，进入评标区评审。</w:t>
      </w:r>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3</w:t>
      </w:r>
      <w:r>
        <w:rPr>
          <w:rFonts w:ascii="宋体" w:hAnsi="宋体"/>
          <w:bCs/>
        </w:rPr>
        <w:t>.</w:t>
      </w:r>
      <w:r>
        <w:rPr>
          <w:rFonts w:hint="eastAsia" w:ascii="宋体" w:hAnsi="宋体"/>
          <w:bCs/>
        </w:rPr>
        <w:t>5 代理机构将指定专人负责开标记录并存档备查。</w:t>
      </w:r>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3</w:t>
      </w:r>
      <w:r>
        <w:rPr>
          <w:rFonts w:ascii="宋体" w:hAnsi="宋体"/>
          <w:bCs/>
        </w:rPr>
        <w:t>.</w:t>
      </w:r>
      <w:r>
        <w:rPr>
          <w:rFonts w:hint="eastAsia" w:ascii="宋体" w:hAnsi="宋体"/>
          <w:bCs/>
        </w:rPr>
        <w:t>6 供应商在报价时不允许采用选择性报价，否则将被视为无效投标。</w:t>
      </w:r>
    </w:p>
    <w:p>
      <w:pPr>
        <w:pStyle w:val="112"/>
        <w:snapToGrid w:val="0"/>
        <w:spacing w:line="360" w:lineRule="auto"/>
        <w:rPr>
          <w:sz w:val="21"/>
          <w:szCs w:val="21"/>
        </w:rPr>
      </w:pPr>
      <w:bookmarkStart w:id="125" w:name="_Toc16938547"/>
      <w:bookmarkStart w:id="126" w:name="_Toc20823303"/>
      <w:bookmarkStart w:id="127" w:name="_Toc513029231"/>
      <w:r>
        <w:rPr>
          <w:rFonts w:hint="eastAsia"/>
          <w:sz w:val="21"/>
          <w:szCs w:val="21"/>
        </w:rPr>
        <w:t>24、评标委员会</w:t>
      </w:r>
    </w:p>
    <w:p>
      <w:pPr>
        <w:snapToGrid w:val="0"/>
        <w:spacing w:line="360" w:lineRule="auto"/>
        <w:ind w:firstLine="420" w:firstLineChars="200"/>
        <w:rPr>
          <w:rFonts w:ascii="宋体" w:hAnsi="宋体"/>
          <w:bCs/>
        </w:rPr>
      </w:pPr>
      <w:r>
        <w:rPr>
          <w:rFonts w:hint="eastAsia" w:ascii="宋体" w:hAnsi="宋体"/>
          <w:bCs/>
        </w:rPr>
        <w:t>24.1 开标后，代理机构将立即组织评标委员会（以下简称评委会）进行评标。</w:t>
      </w:r>
    </w:p>
    <w:p>
      <w:pPr>
        <w:snapToGrid w:val="0"/>
        <w:spacing w:line="360" w:lineRule="auto"/>
        <w:ind w:firstLine="420" w:firstLineChars="200"/>
        <w:rPr>
          <w:rFonts w:ascii="宋体" w:hAnsi="宋体"/>
          <w:bCs/>
        </w:rPr>
      </w:pPr>
      <w:r>
        <w:rPr>
          <w:rFonts w:hint="eastAsia" w:ascii="宋体" w:hAnsi="宋体"/>
          <w:bCs/>
        </w:rPr>
        <w:t>24.2 评委会由采购人代表和有关技术、经济等方面的专家组成，且人员构成符合采购有关规定。</w:t>
      </w:r>
    </w:p>
    <w:p>
      <w:pPr>
        <w:snapToGrid w:val="0"/>
        <w:spacing w:line="360" w:lineRule="auto"/>
        <w:ind w:firstLine="420" w:firstLineChars="200"/>
        <w:rPr>
          <w:rFonts w:ascii="宋体" w:hAnsi="宋体"/>
          <w:bCs/>
        </w:rPr>
      </w:pPr>
      <w:r>
        <w:rPr>
          <w:rFonts w:hint="eastAsia" w:ascii="宋体" w:hAnsi="宋体"/>
          <w:bCs/>
        </w:rPr>
        <w:t>24.3评委会独立工作，负责评审所有投标文件并确定中标人。</w:t>
      </w:r>
    </w:p>
    <w:p>
      <w:pPr>
        <w:pStyle w:val="112"/>
        <w:snapToGrid w:val="0"/>
        <w:spacing w:line="360" w:lineRule="auto"/>
        <w:rPr>
          <w:sz w:val="21"/>
          <w:szCs w:val="21"/>
        </w:rPr>
      </w:pPr>
      <w:r>
        <w:rPr>
          <w:rFonts w:hint="eastAsia"/>
          <w:sz w:val="21"/>
          <w:szCs w:val="21"/>
        </w:rPr>
        <w:t>25．评标过程的保密与公正</w:t>
      </w:r>
    </w:p>
    <w:bookmarkEnd w:id="125"/>
    <w:bookmarkEnd w:id="126"/>
    <w:bookmarkEnd w:id="127"/>
    <w:p>
      <w:pPr>
        <w:snapToGrid w:val="0"/>
        <w:spacing w:line="360" w:lineRule="auto"/>
        <w:ind w:firstLine="420" w:firstLineChars="200"/>
        <w:rPr>
          <w:rFonts w:ascii="宋体" w:hAnsi="宋体"/>
          <w:bCs/>
        </w:rPr>
      </w:pPr>
      <w:r>
        <w:rPr>
          <w:rFonts w:hint="eastAsia" w:ascii="宋体" w:hAnsi="宋体"/>
          <w:bCs/>
        </w:rPr>
        <w:t>25.1公开开标后，直至向中标的供应商授予合同时止，凡是与审查、澄清、评价和比较投标的有关资料以及授标建议等，采购人、评委、代理机构均不得向供应商或与评标无关的其他人员透露。</w:t>
      </w:r>
    </w:p>
    <w:p>
      <w:pPr>
        <w:snapToGrid w:val="0"/>
        <w:spacing w:line="360" w:lineRule="auto"/>
        <w:ind w:firstLine="420" w:firstLineChars="200"/>
        <w:rPr>
          <w:rFonts w:ascii="宋体" w:hAnsi="宋体"/>
          <w:bCs/>
        </w:rPr>
      </w:pPr>
      <w:r>
        <w:rPr>
          <w:rFonts w:hint="eastAsia" w:ascii="宋体" w:hAnsi="宋体"/>
          <w:bCs/>
        </w:rPr>
        <w:t>25.2在评标过程中，供应商</w:t>
      </w:r>
      <w:r>
        <w:rPr>
          <w:rFonts w:hint="eastAsia" w:ascii="宋体" w:hAnsi="宋体"/>
        </w:rPr>
        <w:t>不得以任何行为影响评标过程，否则其投标文件将被作</w:t>
      </w:r>
      <w:r>
        <w:rPr>
          <w:rFonts w:hint="eastAsia" w:ascii="宋体" w:hAnsi="宋体"/>
          <w:bCs/>
        </w:rPr>
        <w:t>为无效投标文件。</w:t>
      </w:r>
    </w:p>
    <w:p>
      <w:pPr>
        <w:snapToGrid w:val="0"/>
        <w:spacing w:line="360" w:lineRule="auto"/>
        <w:ind w:firstLine="420" w:firstLineChars="200"/>
        <w:rPr>
          <w:rFonts w:ascii="宋体" w:hAnsi="宋体"/>
          <w:bCs/>
        </w:rPr>
      </w:pPr>
      <w:r>
        <w:rPr>
          <w:rFonts w:hint="eastAsia" w:ascii="宋体" w:hAnsi="宋体"/>
          <w:bCs/>
        </w:rPr>
        <w:t>25.3在评标期间，代理机构将设专门人员与供应商联系。</w:t>
      </w:r>
    </w:p>
    <w:p>
      <w:pPr>
        <w:snapToGrid w:val="0"/>
        <w:spacing w:line="360" w:lineRule="auto"/>
        <w:ind w:firstLine="420" w:firstLineChars="200"/>
        <w:rPr>
          <w:rFonts w:ascii="宋体" w:hAnsi="宋体"/>
          <w:bCs/>
        </w:rPr>
      </w:pPr>
      <w:r>
        <w:rPr>
          <w:rFonts w:hint="eastAsia" w:ascii="宋体" w:hAnsi="宋体"/>
          <w:bCs/>
        </w:rPr>
        <w:t>25.4 代理机构和评标委员会不得向落标的供应商解释未中标原因，也不公布评标过程中的相关细节。</w:t>
      </w:r>
    </w:p>
    <w:p>
      <w:pPr>
        <w:pStyle w:val="112"/>
        <w:snapToGrid w:val="0"/>
        <w:spacing w:line="360" w:lineRule="auto"/>
        <w:rPr>
          <w:sz w:val="21"/>
          <w:szCs w:val="21"/>
        </w:rPr>
      </w:pPr>
      <w:bookmarkStart w:id="128" w:name="_Toc16938548"/>
      <w:bookmarkStart w:id="129" w:name="_Toc20823304"/>
      <w:bookmarkStart w:id="130" w:name="_Toc513029232"/>
      <w:r>
        <w:rPr>
          <w:rFonts w:hint="eastAsia"/>
          <w:sz w:val="21"/>
          <w:szCs w:val="21"/>
        </w:rPr>
        <w:t>26．投标的澄清</w:t>
      </w:r>
      <w:bookmarkEnd w:id="128"/>
      <w:bookmarkEnd w:id="129"/>
      <w:bookmarkEnd w:id="130"/>
    </w:p>
    <w:p>
      <w:pPr>
        <w:snapToGrid w:val="0"/>
        <w:spacing w:line="360" w:lineRule="auto"/>
        <w:ind w:firstLine="420" w:firstLineChars="200"/>
        <w:rPr>
          <w:rFonts w:ascii="宋体" w:hAnsi="宋体"/>
          <w:bCs/>
        </w:rPr>
      </w:pPr>
      <w:r>
        <w:rPr>
          <w:rFonts w:ascii="宋体" w:hAnsi="宋体"/>
          <w:bCs/>
        </w:rPr>
        <w:t>2</w:t>
      </w:r>
      <w:r>
        <w:rPr>
          <w:rFonts w:hint="eastAsia" w:ascii="宋体" w:hAnsi="宋体"/>
          <w:bCs/>
        </w:rPr>
        <w:t>6.</w:t>
      </w:r>
      <w:r>
        <w:rPr>
          <w:rFonts w:ascii="宋体" w:hAnsi="宋体"/>
          <w:bCs/>
        </w:rPr>
        <w:t>1</w:t>
      </w:r>
      <w:r>
        <w:rPr>
          <w:rFonts w:hint="eastAsia" w:ascii="宋体" w:hAnsi="宋体"/>
          <w:bCs/>
        </w:rPr>
        <w:t>评标期间，为有助于对投标文件的审查、评价和比较，评委会有权以书面形式要求供应商对其投标文件进行澄清，但并非对每个供应商都作澄清要求。</w:t>
      </w:r>
    </w:p>
    <w:p>
      <w:pPr>
        <w:snapToGrid w:val="0"/>
        <w:spacing w:line="360" w:lineRule="auto"/>
        <w:rPr>
          <w:rFonts w:ascii="宋体" w:hAnsi="宋体"/>
          <w:bCs/>
        </w:rPr>
      </w:pPr>
      <w:r>
        <w:rPr>
          <w:rFonts w:hint="eastAsia" w:ascii="宋体" w:hAnsi="宋体"/>
          <w:bCs/>
        </w:rPr>
        <w:t xml:space="preserve">    26.2接到评委会澄清要求的供应商应派人按评委会通知的时间和地点做出书面澄清，书面澄清的内容须由供应商法人或授权代表签署，并作为投标文件的补充部分，但投标的价格和实质性的内容不得做任何更改。</w:t>
      </w:r>
    </w:p>
    <w:p>
      <w:pPr>
        <w:snapToGrid w:val="0"/>
        <w:spacing w:line="360" w:lineRule="auto"/>
        <w:rPr>
          <w:rFonts w:ascii="宋体" w:hAnsi="宋体"/>
        </w:rPr>
      </w:pPr>
      <w:r>
        <w:rPr>
          <w:rFonts w:hint="eastAsia" w:ascii="宋体" w:hAnsi="宋体"/>
          <w:bCs/>
        </w:rPr>
        <w:t xml:space="preserve">    26.3 接到评委会澄清要求的供应商如未按规定做出澄清，其风险由供应商自行承担。</w:t>
      </w:r>
    </w:p>
    <w:p>
      <w:pPr>
        <w:pStyle w:val="112"/>
        <w:snapToGrid w:val="0"/>
        <w:spacing w:line="360" w:lineRule="auto"/>
        <w:rPr>
          <w:sz w:val="21"/>
          <w:szCs w:val="21"/>
        </w:rPr>
      </w:pPr>
      <w:bookmarkStart w:id="131" w:name="_Toc513029233"/>
      <w:bookmarkStart w:id="132" w:name="_Toc20823305"/>
      <w:bookmarkStart w:id="133" w:name="_Toc16938549"/>
      <w:r>
        <w:rPr>
          <w:rFonts w:hint="eastAsia"/>
          <w:sz w:val="21"/>
          <w:szCs w:val="21"/>
        </w:rPr>
        <w:t>27、对投标文件的初审</w:t>
      </w:r>
      <w:bookmarkEnd w:id="131"/>
      <w:bookmarkEnd w:id="132"/>
      <w:bookmarkEnd w:id="133"/>
    </w:p>
    <w:p>
      <w:pPr>
        <w:snapToGrid w:val="0"/>
        <w:spacing w:line="360" w:lineRule="auto"/>
        <w:ind w:firstLine="420" w:firstLineChars="200"/>
        <w:rPr>
          <w:rFonts w:ascii="宋体" w:hAnsi="宋体"/>
          <w:bCs/>
        </w:rPr>
      </w:pPr>
      <w:r>
        <w:rPr>
          <w:rFonts w:hint="eastAsia" w:ascii="宋体" w:hAnsi="宋体"/>
          <w:bCs/>
        </w:rPr>
        <w:t>27.1投标文件初审分为资格性检查和符合性检查。</w:t>
      </w:r>
    </w:p>
    <w:p>
      <w:pPr>
        <w:snapToGrid w:val="0"/>
        <w:spacing w:line="360" w:lineRule="auto"/>
        <w:ind w:firstLine="420" w:firstLineChars="200"/>
        <w:rPr>
          <w:rFonts w:ascii="宋体" w:hAnsi="宋体"/>
          <w:bCs/>
        </w:rPr>
      </w:pPr>
      <w:r>
        <w:rPr>
          <w:rFonts w:hint="eastAsia" w:ascii="宋体" w:hAnsi="宋体"/>
          <w:bCs/>
        </w:rPr>
        <w:t>资格性检查：依据法律法规和招标文件的规定，对投标文件中的资格证明文件、投标保证金等进行审查，以确定投标供应商是否具备投标资格。</w:t>
      </w:r>
    </w:p>
    <w:p>
      <w:pPr>
        <w:snapToGrid w:val="0"/>
        <w:spacing w:line="360" w:lineRule="auto"/>
        <w:ind w:firstLine="420" w:firstLineChars="200"/>
        <w:rPr>
          <w:rFonts w:ascii="宋体" w:hAnsi="宋体"/>
          <w:bCs/>
        </w:rPr>
      </w:pPr>
      <w:r>
        <w:rPr>
          <w:rFonts w:hint="eastAsia" w:ascii="宋体" w:hAnsi="宋体"/>
          <w:bCs/>
        </w:rPr>
        <w:t>符合性检查：依据招标文件的规定，从投标文件的有效性、完整性和对招标文件的响应程度进行审查，以确定是否对招标文件的实质性要求做出响应。</w:t>
      </w:r>
    </w:p>
    <w:p>
      <w:pPr>
        <w:snapToGrid w:val="0"/>
        <w:spacing w:line="360" w:lineRule="auto"/>
        <w:ind w:firstLine="420" w:firstLineChars="200"/>
        <w:rPr>
          <w:rFonts w:ascii="宋体" w:hAnsi="宋体"/>
          <w:bCs/>
        </w:rPr>
      </w:pPr>
      <w:r>
        <w:rPr>
          <w:rFonts w:hint="eastAsia" w:ascii="宋体" w:hAnsi="宋体"/>
          <w:bCs/>
        </w:rPr>
        <w:t>27.2在详细评标之前，评委会将首先审查每份投标文件是否实质性响应了招标文件的要求。实质性响应的投标应该是与招标文件要求的全部条款、条件和规格相符，没有重大偏离或保留的投标。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20" w:firstLineChars="200"/>
        <w:rPr>
          <w:rFonts w:ascii="宋体" w:hAnsi="宋体"/>
          <w:bCs/>
        </w:rPr>
      </w:pPr>
      <w:r>
        <w:rPr>
          <w:rFonts w:hint="eastAsia" w:ascii="宋体" w:hAnsi="宋体"/>
          <w:bCs/>
        </w:rPr>
        <w:t>所谓重大偏离或保留是指与招标文件规定的实质性要求存在负偏离，或者在实质上与招标文件不一致，而且限制了合同中买方和见证方的权利或供应商的义务，纠正这些偏离或保留将会对其他实质性响应要求的供应商的竞争地位产生不公正的影响。是否属于重大偏离由评委会按照少数服从多数的原则做出结论。认定评委决定投标文件的响应性只根据投标文件本身的内容，而不寻求外部的证据。</w:t>
      </w:r>
    </w:p>
    <w:p>
      <w:pPr>
        <w:snapToGrid w:val="0"/>
        <w:spacing w:line="360" w:lineRule="auto"/>
        <w:ind w:firstLine="420" w:firstLineChars="200"/>
        <w:rPr>
          <w:rFonts w:ascii="宋体" w:hAnsi="宋体"/>
          <w:bCs/>
        </w:rPr>
      </w:pPr>
      <w:r>
        <w:rPr>
          <w:rFonts w:hint="eastAsia" w:ascii="宋体" w:hAnsi="宋体"/>
          <w:bCs/>
        </w:rPr>
        <w:t>27.3如果投标文件实质上没有响应招标文件的要求，评委会将予以拒绝，供应商不得通过修改或撤销不合要求的偏离或保留而使其投标成为实质性响应的投标。</w:t>
      </w:r>
    </w:p>
    <w:p>
      <w:pPr>
        <w:snapToGrid w:val="0"/>
        <w:spacing w:line="360" w:lineRule="auto"/>
        <w:ind w:firstLine="420" w:firstLineChars="200"/>
        <w:rPr>
          <w:rFonts w:ascii="宋体" w:hAnsi="宋体"/>
          <w:bCs/>
        </w:rPr>
      </w:pPr>
      <w:r>
        <w:rPr>
          <w:rFonts w:hint="eastAsia" w:ascii="宋体" w:hAnsi="宋体"/>
          <w:bCs/>
        </w:rPr>
        <w:t>27.4评委会将对确定为实质性响应的投标进行进一步审核，对投标文件中大小写金额不一致等问题的评审原则如下：</w:t>
      </w:r>
    </w:p>
    <w:p>
      <w:pPr>
        <w:snapToGrid w:val="0"/>
        <w:spacing w:line="360" w:lineRule="auto"/>
        <w:ind w:firstLine="420" w:firstLineChars="200"/>
        <w:rPr>
          <w:rFonts w:ascii="宋体" w:hAnsi="宋体"/>
          <w:bCs/>
        </w:rPr>
      </w:pPr>
      <w:r>
        <w:rPr>
          <w:rFonts w:hint="eastAsia" w:ascii="宋体" w:hAnsi="宋体"/>
          <w:bCs/>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napToGrid w:val="0"/>
        <w:spacing w:line="360" w:lineRule="auto"/>
        <w:ind w:firstLine="420" w:firstLineChars="200"/>
        <w:rPr>
          <w:rFonts w:ascii="宋体" w:hAnsi="宋体"/>
          <w:bCs/>
        </w:rPr>
      </w:pPr>
      <w:r>
        <w:rPr>
          <w:rFonts w:hint="eastAsia" w:ascii="宋体" w:hAnsi="宋体"/>
          <w:bCs/>
        </w:rPr>
        <w:t>27.5评委会将按上述修正错误的方法调整投标文件中的投标报价，调整后的价格应对供应商具有约束力。如果供应商不接受修正后的价格，则其投标将被拒绝，其投标保证金不予退还。</w:t>
      </w:r>
    </w:p>
    <w:p>
      <w:pPr>
        <w:snapToGrid w:val="0"/>
        <w:spacing w:line="360" w:lineRule="auto"/>
        <w:ind w:firstLine="420" w:firstLineChars="200"/>
        <w:rPr>
          <w:rFonts w:ascii="宋体" w:hAnsi="宋体"/>
          <w:bCs/>
        </w:rPr>
      </w:pPr>
      <w:r>
        <w:rPr>
          <w:rFonts w:hint="eastAsia" w:ascii="宋体" w:hAnsi="宋体"/>
          <w:bCs/>
        </w:rPr>
        <w:t>27.6 对投标文件中含义不明确、同类问题表述不一致或者有明显文字和计算错误的内容，评标委员会可以书面形式（应当由评标委员会专家签字）要求供应商做出必要的澄清、说明或者纠正。供应商的澄清、说明或者补正应当采用书面形式，由其授权的代表签字，并不得超出投标文件的范围或者改变投标文件的实质性内容。</w:t>
      </w:r>
    </w:p>
    <w:p>
      <w:pPr>
        <w:pStyle w:val="19"/>
        <w:snapToGrid w:val="0"/>
        <w:spacing w:line="360" w:lineRule="auto"/>
        <w:rPr>
          <w:rFonts w:ascii="宋体" w:hAnsi="宋体" w:eastAsia="宋体"/>
          <w:b/>
          <w:sz w:val="21"/>
          <w:szCs w:val="21"/>
        </w:rPr>
      </w:pPr>
      <w:bookmarkStart w:id="134" w:name="_Toc20823306"/>
      <w:bookmarkStart w:id="135" w:name="_Toc16938550"/>
      <w:bookmarkStart w:id="136" w:name="_Toc513029234"/>
      <w:r>
        <w:rPr>
          <w:rFonts w:hint="eastAsia" w:ascii="宋体" w:hAnsi="宋体" w:eastAsia="宋体"/>
          <w:b/>
          <w:sz w:val="21"/>
          <w:szCs w:val="21"/>
        </w:rPr>
        <w:t>28、</w:t>
      </w:r>
      <w:bookmarkEnd w:id="134"/>
      <w:bookmarkEnd w:id="135"/>
      <w:bookmarkEnd w:id="136"/>
      <w:r>
        <w:rPr>
          <w:rFonts w:hint="eastAsia" w:ascii="宋体" w:hAnsi="宋体" w:eastAsia="宋体"/>
          <w:b/>
          <w:sz w:val="21"/>
          <w:szCs w:val="21"/>
        </w:rPr>
        <w:t>无效投标条款和废标条款</w:t>
      </w:r>
    </w:p>
    <w:p>
      <w:pPr>
        <w:snapToGrid w:val="0"/>
        <w:spacing w:line="360" w:lineRule="auto"/>
        <w:ind w:firstLine="420" w:firstLineChars="200"/>
        <w:rPr>
          <w:rFonts w:ascii="宋体" w:hAnsi="宋体"/>
          <w:bCs/>
        </w:rPr>
      </w:pPr>
      <w:bookmarkStart w:id="137" w:name="_Toc16938551"/>
      <w:bookmarkStart w:id="138" w:name="_Toc20823307"/>
      <w:bookmarkStart w:id="139" w:name="_Toc513029235"/>
      <w:r>
        <w:rPr>
          <w:rFonts w:hint="eastAsia" w:ascii="宋体" w:hAnsi="宋体"/>
          <w:bCs/>
        </w:rPr>
        <w:t>28.1无效投标条款</w:t>
      </w:r>
    </w:p>
    <w:p>
      <w:pPr>
        <w:snapToGrid w:val="0"/>
        <w:spacing w:line="360" w:lineRule="auto"/>
        <w:ind w:firstLine="420" w:firstLineChars="200"/>
        <w:rPr>
          <w:rFonts w:ascii="宋体" w:hAnsi="宋体"/>
          <w:bCs/>
        </w:rPr>
      </w:pPr>
      <w:r>
        <w:rPr>
          <w:rFonts w:hint="eastAsia" w:ascii="宋体" w:hAnsi="宋体"/>
          <w:bCs/>
        </w:rPr>
        <w:t>28.1.1未按要求交纳投标保证金的；</w:t>
      </w:r>
    </w:p>
    <w:p>
      <w:pPr>
        <w:snapToGrid w:val="0"/>
        <w:spacing w:line="360" w:lineRule="auto"/>
        <w:ind w:firstLine="420" w:firstLineChars="200"/>
        <w:rPr>
          <w:rFonts w:ascii="宋体" w:hAnsi="宋体"/>
          <w:bCs/>
        </w:rPr>
      </w:pPr>
      <w:r>
        <w:rPr>
          <w:rFonts w:hint="eastAsia" w:ascii="宋体" w:hAnsi="宋体"/>
          <w:bCs/>
        </w:rPr>
        <w:t>28.1.2未按照招标文件规定要求密封、签署、盖章的；</w:t>
      </w:r>
    </w:p>
    <w:p>
      <w:pPr>
        <w:snapToGrid w:val="0"/>
        <w:spacing w:line="360" w:lineRule="auto"/>
        <w:ind w:firstLine="420" w:firstLineChars="200"/>
        <w:rPr>
          <w:rFonts w:ascii="宋体" w:hAnsi="宋体"/>
          <w:bCs/>
        </w:rPr>
      </w:pPr>
      <w:r>
        <w:rPr>
          <w:rFonts w:hint="eastAsia" w:ascii="宋体" w:hAnsi="宋体"/>
          <w:bCs/>
        </w:rPr>
        <w:t>28.1.3供应商在报价时采用选择性报价；</w:t>
      </w:r>
    </w:p>
    <w:p>
      <w:pPr>
        <w:snapToGrid w:val="0"/>
        <w:spacing w:line="360" w:lineRule="auto"/>
        <w:ind w:firstLine="420" w:firstLineChars="200"/>
        <w:rPr>
          <w:rFonts w:ascii="宋体" w:hAnsi="宋体"/>
          <w:bCs/>
        </w:rPr>
      </w:pPr>
      <w:r>
        <w:rPr>
          <w:rFonts w:hint="eastAsia" w:ascii="宋体" w:hAnsi="宋体"/>
          <w:bCs/>
        </w:rPr>
        <w:t>28.1.4供应商不具备招标文件中规定资格要求的；</w:t>
      </w:r>
    </w:p>
    <w:p>
      <w:pPr>
        <w:snapToGrid w:val="0"/>
        <w:spacing w:line="360" w:lineRule="auto"/>
        <w:ind w:firstLine="420" w:firstLineChars="200"/>
        <w:rPr>
          <w:rFonts w:ascii="宋体" w:hAnsi="宋体"/>
          <w:bCs/>
        </w:rPr>
      </w:pPr>
      <w:r>
        <w:rPr>
          <w:rFonts w:hint="eastAsia" w:ascii="宋体" w:hAnsi="宋体"/>
          <w:bCs/>
        </w:rPr>
        <w:t>28.1.5供应商的报价超过了采购预算的；</w:t>
      </w:r>
    </w:p>
    <w:p>
      <w:pPr>
        <w:snapToGrid w:val="0"/>
        <w:spacing w:line="360" w:lineRule="auto"/>
        <w:ind w:firstLine="420" w:firstLineChars="200"/>
        <w:rPr>
          <w:rFonts w:ascii="宋体" w:hAnsi="宋体"/>
          <w:bCs/>
        </w:rPr>
      </w:pPr>
      <w:r>
        <w:rPr>
          <w:rFonts w:hint="eastAsia" w:ascii="宋体" w:hAnsi="宋体"/>
          <w:bCs/>
        </w:rPr>
        <w:t>28.1.6未通过符合性检查的；</w:t>
      </w:r>
    </w:p>
    <w:p>
      <w:pPr>
        <w:snapToGrid w:val="0"/>
        <w:spacing w:line="360" w:lineRule="auto"/>
        <w:ind w:firstLine="420" w:firstLineChars="200"/>
        <w:rPr>
          <w:rFonts w:ascii="宋体" w:hAnsi="宋体"/>
          <w:bCs/>
        </w:rPr>
      </w:pPr>
      <w:r>
        <w:rPr>
          <w:rFonts w:hint="eastAsia" w:ascii="宋体" w:hAnsi="宋体"/>
          <w:bCs/>
        </w:rPr>
        <w:t>28.1.7不符合招标文件中规定的其他实质性要求和条件的；</w:t>
      </w:r>
    </w:p>
    <w:p>
      <w:pPr>
        <w:snapToGrid w:val="0"/>
        <w:spacing w:line="360" w:lineRule="auto"/>
        <w:ind w:firstLine="420" w:firstLineChars="200"/>
        <w:rPr>
          <w:rFonts w:ascii="宋体" w:hAnsi="宋体"/>
          <w:bCs/>
        </w:rPr>
      </w:pPr>
      <w:r>
        <w:rPr>
          <w:rFonts w:hint="eastAsia" w:ascii="宋体" w:hAnsi="宋体"/>
          <w:bCs/>
        </w:rPr>
        <w:t>28.1.8其他法律、法规及本招标文件规定的属无效投标的情形。</w:t>
      </w:r>
    </w:p>
    <w:p>
      <w:pPr>
        <w:snapToGrid w:val="0"/>
        <w:spacing w:line="360" w:lineRule="auto"/>
        <w:ind w:firstLine="420" w:firstLineChars="200"/>
        <w:rPr>
          <w:rFonts w:ascii="宋体" w:hAnsi="宋体"/>
          <w:bCs/>
        </w:rPr>
      </w:pPr>
      <w:r>
        <w:rPr>
          <w:rFonts w:hint="eastAsia" w:ascii="宋体" w:hAnsi="宋体"/>
          <w:bCs/>
        </w:rPr>
        <w:t xml:space="preserve">28.2废标条款：                                                                                                                                                                                                                                                                                                                                                                                                                                                                                                                                                                                                                                                                                                                                                                                                                                                                                                                                                                                                                                                                                                                                                                                                                                                                                                                                                                                                                                                                         </w:t>
      </w:r>
    </w:p>
    <w:p>
      <w:pPr>
        <w:snapToGrid w:val="0"/>
        <w:spacing w:line="360" w:lineRule="auto"/>
        <w:ind w:left="478" w:leftChars="203" w:hanging="52" w:hangingChars="25"/>
        <w:rPr>
          <w:rFonts w:ascii="宋体" w:hAnsi="宋体"/>
          <w:bCs/>
        </w:rPr>
      </w:pPr>
      <w:r>
        <w:rPr>
          <w:rFonts w:hint="eastAsia" w:ascii="宋体" w:hAnsi="宋体"/>
          <w:bCs/>
        </w:rPr>
        <w:t>28.2.1符合专业条件的供应商或者对招标文件作实质响应的供应商不足三家的；</w:t>
      </w:r>
    </w:p>
    <w:p>
      <w:pPr>
        <w:snapToGrid w:val="0"/>
        <w:spacing w:line="360" w:lineRule="auto"/>
        <w:ind w:left="478" w:leftChars="203" w:hanging="52" w:hangingChars="25"/>
        <w:rPr>
          <w:rFonts w:ascii="宋体" w:hAnsi="宋体"/>
          <w:bCs/>
        </w:rPr>
      </w:pPr>
      <w:r>
        <w:rPr>
          <w:rFonts w:hint="eastAsia" w:ascii="宋体" w:hAnsi="宋体"/>
          <w:bCs/>
        </w:rPr>
        <w:t>28.2.2出现影响采购公正的违法、违规行为的；</w:t>
      </w:r>
    </w:p>
    <w:p>
      <w:pPr>
        <w:snapToGrid w:val="0"/>
        <w:spacing w:line="360" w:lineRule="auto"/>
        <w:ind w:firstLine="420" w:firstLineChars="200"/>
        <w:rPr>
          <w:rFonts w:ascii="宋体" w:hAnsi="宋体"/>
          <w:bCs/>
        </w:rPr>
      </w:pPr>
      <w:r>
        <w:rPr>
          <w:rFonts w:hint="eastAsia" w:ascii="宋体" w:hAnsi="宋体"/>
          <w:bCs/>
        </w:rPr>
        <w:t>28.2.3供应商的报价均超过最高限价，采购人不能支付的；</w:t>
      </w:r>
    </w:p>
    <w:p>
      <w:pPr>
        <w:snapToGrid w:val="0"/>
        <w:spacing w:line="360" w:lineRule="auto"/>
        <w:ind w:firstLine="420" w:firstLineChars="200"/>
        <w:rPr>
          <w:rFonts w:ascii="宋体" w:hAnsi="宋体"/>
          <w:bCs/>
        </w:rPr>
      </w:pPr>
      <w:r>
        <w:rPr>
          <w:rFonts w:hint="eastAsia" w:ascii="宋体" w:hAnsi="宋体"/>
          <w:bCs/>
        </w:rPr>
        <w:t>28.2.4因重大变故，采购任务取消的；</w:t>
      </w:r>
    </w:p>
    <w:p>
      <w:pPr>
        <w:snapToGrid w:val="0"/>
        <w:spacing w:line="360" w:lineRule="auto"/>
        <w:ind w:firstLine="420" w:firstLineChars="200"/>
        <w:rPr>
          <w:rFonts w:ascii="宋体" w:hAnsi="宋体"/>
          <w:bCs/>
        </w:rPr>
      </w:pPr>
      <w:r>
        <w:rPr>
          <w:rFonts w:hint="eastAsia" w:ascii="宋体" w:hAnsi="宋体"/>
          <w:bCs/>
        </w:rPr>
        <w:t>28.2.5评标委员会认定招标文件存在歧义、 重大缺陷导致评审工作无法进行。</w:t>
      </w:r>
    </w:p>
    <w:p>
      <w:pPr>
        <w:snapToGrid w:val="0"/>
        <w:spacing w:line="360" w:lineRule="auto"/>
        <w:ind w:firstLine="420" w:firstLineChars="200"/>
        <w:rPr>
          <w:rFonts w:ascii="宋体" w:hAnsi="宋体"/>
          <w:bCs/>
        </w:rPr>
      </w:pPr>
      <w:r>
        <w:rPr>
          <w:rFonts w:hint="eastAsia" w:ascii="宋体" w:hAnsi="宋体"/>
          <w:bCs/>
        </w:rPr>
        <w:t>28.3 投标截止时间结束后参加投标的供应商不足三家：</w:t>
      </w:r>
    </w:p>
    <w:p>
      <w:pPr>
        <w:snapToGrid w:val="0"/>
        <w:spacing w:line="360" w:lineRule="auto"/>
        <w:ind w:firstLine="420" w:firstLineChars="200"/>
        <w:rPr>
          <w:rFonts w:ascii="宋体" w:hAnsi="宋体"/>
          <w:bCs/>
        </w:rPr>
      </w:pPr>
      <w:r>
        <w:rPr>
          <w:rFonts w:hint="eastAsia" w:ascii="宋体" w:hAnsi="宋体"/>
          <w:bCs/>
        </w:rPr>
        <w:t>28.3.1如出现投标截止时间结束后参加投标的供应商或者在评标期间对招标文件</w:t>
      </w:r>
    </w:p>
    <w:p>
      <w:pPr>
        <w:snapToGrid w:val="0"/>
        <w:spacing w:line="360" w:lineRule="auto"/>
        <w:ind w:firstLine="420" w:firstLineChars="200"/>
        <w:rPr>
          <w:rFonts w:ascii="宋体" w:hAnsi="宋体"/>
          <w:bCs/>
        </w:rPr>
      </w:pPr>
      <w:r>
        <w:rPr>
          <w:rFonts w:hint="eastAsia" w:ascii="宋体" w:hAnsi="宋体"/>
          <w:bCs/>
        </w:rPr>
        <w:t>做出实质性响应的供应商不足三家情况，按照财政部第87号令第四十三条的规定执行。</w:t>
      </w:r>
    </w:p>
    <w:p>
      <w:pPr>
        <w:snapToGrid w:val="0"/>
        <w:spacing w:line="360" w:lineRule="auto"/>
        <w:jc w:val="center"/>
        <w:outlineLvl w:val="1"/>
        <w:rPr>
          <w:rFonts w:ascii="宋体" w:hAnsi="宋体"/>
          <w:b/>
          <w:sz w:val="30"/>
          <w:szCs w:val="30"/>
        </w:rPr>
      </w:pPr>
      <w:bookmarkStart w:id="140" w:name="_Toc120614219"/>
      <w:r>
        <w:rPr>
          <w:rFonts w:hint="eastAsia" w:ascii="宋体" w:hAnsi="宋体"/>
          <w:b/>
          <w:sz w:val="30"/>
          <w:szCs w:val="30"/>
        </w:rPr>
        <w:t>六、</w:t>
      </w:r>
      <w:bookmarkEnd w:id="137"/>
      <w:bookmarkEnd w:id="138"/>
      <w:bookmarkEnd w:id="139"/>
      <w:r>
        <w:rPr>
          <w:rFonts w:hint="eastAsia" w:ascii="宋体" w:hAnsi="宋体"/>
          <w:b/>
          <w:sz w:val="30"/>
          <w:szCs w:val="30"/>
        </w:rPr>
        <w:t>定标</w:t>
      </w:r>
      <w:bookmarkEnd w:id="140"/>
    </w:p>
    <w:p>
      <w:pPr>
        <w:pStyle w:val="112"/>
        <w:snapToGrid w:val="0"/>
        <w:spacing w:line="360" w:lineRule="auto"/>
        <w:rPr>
          <w:sz w:val="21"/>
          <w:szCs w:val="21"/>
        </w:rPr>
      </w:pPr>
      <w:bookmarkStart w:id="141" w:name="_Toc513029238"/>
      <w:bookmarkStart w:id="142" w:name="_Toc20823310"/>
      <w:bookmarkStart w:id="143" w:name="_Toc16938554"/>
      <w:r>
        <w:rPr>
          <w:rFonts w:hint="eastAsia"/>
          <w:sz w:val="21"/>
          <w:szCs w:val="21"/>
        </w:rPr>
        <w:t>29、</w:t>
      </w:r>
      <w:bookmarkEnd w:id="141"/>
      <w:r>
        <w:rPr>
          <w:rFonts w:hint="eastAsia"/>
          <w:sz w:val="21"/>
          <w:szCs w:val="21"/>
        </w:rPr>
        <w:t>确定</w:t>
      </w:r>
      <w:bookmarkEnd w:id="142"/>
      <w:bookmarkEnd w:id="143"/>
      <w:r>
        <w:rPr>
          <w:rFonts w:hint="eastAsia"/>
          <w:sz w:val="21"/>
          <w:szCs w:val="21"/>
        </w:rPr>
        <w:t>中标单位</w:t>
      </w:r>
    </w:p>
    <w:p>
      <w:pPr>
        <w:snapToGrid w:val="0"/>
        <w:spacing w:line="360" w:lineRule="auto"/>
        <w:ind w:firstLine="420" w:firstLineChars="200"/>
        <w:rPr>
          <w:rFonts w:ascii="宋体" w:hAnsi="宋体"/>
          <w:bCs/>
        </w:rPr>
      </w:pPr>
      <w:r>
        <w:rPr>
          <w:rFonts w:hint="eastAsia" w:ascii="宋体" w:hAnsi="宋体"/>
          <w:bCs/>
        </w:rPr>
        <w:t>29.1评委会根据本招标文件规定评分办法与评分标准评出中标人。</w:t>
      </w:r>
    </w:p>
    <w:p>
      <w:pPr>
        <w:snapToGrid w:val="0"/>
        <w:spacing w:line="360" w:lineRule="auto"/>
        <w:ind w:firstLine="420" w:firstLineChars="200"/>
        <w:rPr>
          <w:rFonts w:ascii="宋体" w:hAnsi="宋体"/>
          <w:b/>
          <w:bCs/>
        </w:rPr>
      </w:pPr>
      <w:r>
        <w:rPr>
          <w:rFonts w:hint="eastAsia" w:ascii="宋体" w:hAnsi="宋体"/>
          <w:bCs/>
        </w:rPr>
        <w:t>29.2</w:t>
      </w:r>
      <w:r>
        <w:rPr>
          <w:rFonts w:hint="eastAsia" w:ascii="宋体" w:hAnsi="宋体"/>
          <w:b/>
          <w:bCs/>
        </w:rPr>
        <w:t>若有充分证据证明，中标人出现下列情况之一的，一经查实，将被取消中标资格：</w:t>
      </w:r>
    </w:p>
    <w:p>
      <w:pPr>
        <w:snapToGrid w:val="0"/>
        <w:spacing w:line="360" w:lineRule="auto"/>
        <w:ind w:firstLine="420" w:firstLineChars="200"/>
        <w:rPr>
          <w:rFonts w:ascii="宋体" w:hAnsi="宋体"/>
          <w:bCs/>
        </w:rPr>
      </w:pPr>
      <w:r>
        <w:rPr>
          <w:rFonts w:hint="eastAsia" w:ascii="宋体" w:hAnsi="宋体"/>
          <w:bCs/>
        </w:rPr>
        <w:t>29.2.1提供虚假材料谋取中标的；</w:t>
      </w:r>
    </w:p>
    <w:p>
      <w:pPr>
        <w:snapToGrid w:val="0"/>
        <w:spacing w:line="360" w:lineRule="auto"/>
        <w:ind w:firstLine="420" w:firstLineChars="200"/>
        <w:rPr>
          <w:rFonts w:ascii="宋体" w:hAnsi="宋体"/>
          <w:bCs/>
        </w:rPr>
      </w:pPr>
      <w:r>
        <w:rPr>
          <w:rFonts w:hint="eastAsia" w:ascii="宋体" w:hAnsi="宋体"/>
          <w:bCs/>
        </w:rPr>
        <w:t>29.2.2向采购人、代理机构行贿或者提供其他不正当利益的；</w:t>
      </w:r>
    </w:p>
    <w:p>
      <w:pPr>
        <w:snapToGrid w:val="0"/>
        <w:spacing w:line="360" w:lineRule="auto"/>
        <w:ind w:firstLine="420" w:firstLineChars="200"/>
        <w:rPr>
          <w:rFonts w:ascii="宋体" w:hAnsi="宋体"/>
          <w:bCs/>
        </w:rPr>
      </w:pPr>
      <w:r>
        <w:rPr>
          <w:rFonts w:hint="eastAsia" w:ascii="宋体" w:hAnsi="宋体"/>
          <w:bCs/>
        </w:rPr>
        <w:t>29.2.3恶意竞争，投标总报价明显低于其自身合理成本且又无法提供证明的；</w:t>
      </w:r>
    </w:p>
    <w:p>
      <w:pPr>
        <w:snapToGrid w:val="0"/>
        <w:spacing w:line="360" w:lineRule="auto"/>
        <w:ind w:firstLine="420" w:firstLineChars="200"/>
        <w:rPr>
          <w:rFonts w:ascii="宋体" w:hAnsi="宋体"/>
          <w:bCs/>
        </w:rPr>
      </w:pPr>
      <w:r>
        <w:rPr>
          <w:rFonts w:hint="eastAsia" w:ascii="宋体" w:hAnsi="宋体"/>
          <w:bCs/>
        </w:rPr>
        <w:t>29.2.4属于本文件规定的无效条件，但在评标过程中又未被评委会发现的；</w:t>
      </w:r>
    </w:p>
    <w:p>
      <w:pPr>
        <w:snapToGrid w:val="0"/>
        <w:spacing w:line="360" w:lineRule="auto"/>
        <w:ind w:firstLine="420" w:firstLineChars="200"/>
        <w:rPr>
          <w:rFonts w:ascii="宋体" w:hAnsi="宋体"/>
          <w:bCs/>
        </w:rPr>
      </w:pPr>
      <w:r>
        <w:rPr>
          <w:rFonts w:hint="eastAsia" w:ascii="宋体" w:hAnsi="宋体"/>
          <w:bCs/>
        </w:rPr>
        <w:t>29.2.5与采购人或者其他供应商恶意串通的；</w:t>
      </w:r>
    </w:p>
    <w:p>
      <w:pPr>
        <w:snapToGrid w:val="0"/>
        <w:spacing w:line="360" w:lineRule="auto"/>
        <w:ind w:firstLine="420" w:firstLineChars="200"/>
        <w:rPr>
          <w:rFonts w:ascii="宋体" w:hAnsi="宋体"/>
          <w:bCs/>
        </w:rPr>
      </w:pPr>
      <w:r>
        <w:rPr>
          <w:rFonts w:hint="eastAsia" w:ascii="宋体" w:hAnsi="宋体"/>
          <w:bCs/>
        </w:rPr>
        <w:t>29.2.6采取不正当手段诋毁、排挤其他供应商的；</w:t>
      </w:r>
    </w:p>
    <w:p>
      <w:pPr>
        <w:snapToGrid w:val="0"/>
        <w:spacing w:line="360" w:lineRule="auto"/>
        <w:ind w:firstLine="420" w:firstLineChars="200"/>
        <w:rPr>
          <w:rFonts w:ascii="宋体" w:hAnsi="宋体"/>
          <w:bCs/>
        </w:rPr>
      </w:pPr>
      <w:r>
        <w:rPr>
          <w:rFonts w:hint="eastAsia" w:ascii="宋体" w:hAnsi="宋体"/>
          <w:bCs/>
        </w:rPr>
        <w:t>29.2.7不符合法律、法规的规定的。</w:t>
      </w:r>
      <w:bookmarkStart w:id="144" w:name="_Toc200451960"/>
    </w:p>
    <w:p>
      <w:pPr>
        <w:snapToGrid w:val="0"/>
        <w:spacing w:line="360" w:lineRule="auto"/>
        <w:ind w:firstLine="420" w:firstLineChars="200"/>
        <w:rPr>
          <w:rFonts w:ascii="宋体" w:hAnsi="宋体"/>
          <w:bCs/>
        </w:rPr>
      </w:pPr>
      <w:r>
        <w:rPr>
          <w:rFonts w:hint="eastAsia" w:ascii="宋体" w:hAnsi="宋体"/>
          <w:bCs/>
        </w:rPr>
        <w:t>29.2.8中标公示期间，采购人将对中标候选人进行实地考察，主要实地考察中标候选人投标文件的真实性和实际生产能力和管理水平。如中标候选人通不过实地考察，则取消中标候选人的中标资格，重新招标。</w:t>
      </w:r>
    </w:p>
    <w:p>
      <w:pPr>
        <w:snapToGrid w:val="0"/>
        <w:spacing w:line="360" w:lineRule="auto"/>
        <w:ind w:firstLine="420" w:firstLineChars="200"/>
        <w:rPr>
          <w:rFonts w:ascii="宋体" w:hAnsi="宋体"/>
          <w:b/>
          <w:bCs/>
        </w:rPr>
      </w:pPr>
      <w:r>
        <w:rPr>
          <w:rFonts w:hint="eastAsia" w:ascii="宋体" w:hAnsi="宋体"/>
          <w:bCs/>
        </w:rPr>
        <w:t>29.3</w:t>
      </w:r>
      <w:r>
        <w:rPr>
          <w:rFonts w:hint="eastAsia" w:ascii="宋体" w:hAnsi="宋体"/>
          <w:b/>
          <w:bCs/>
        </w:rPr>
        <w:t xml:space="preserve"> </w:t>
      </w:r>
      <w:r>
        <w:rPr>
          <w:rFonts w:ascii="宋体" w:hAnsi="宋体"/>
          <w:b/>
          <w:bCs/>
        </w:rPr>
        <w:t>有下列情形之一的，属于恶意串通</w:t>
      </w:r>
      <w:r>
        <w:rPr>
          <w:rFonts w:hint="eastAsia" w:ascii="宋体" w:hAnsi="宋体"/>
          <w:b/>
          <w:bCs/>
        </w:rPr>
        <w:t>：</w:t>
      </w:r>
    </w:p>
    <w:p>
      <w:pPr>
        <w:snapToGrid w:val="0"/>
        <w:spacing w:line="360" w:lineRule="auto"/>
        <w:ind w:firstLine="420" w:firstLineChars="200"/>
        <w:rPr>
          <w:rFonts w:ascii="宋体" w:hAnsi="宋体"/>
          <w:bCs/>
        </w:rPr>
      </w:pPr>
      <w:r>
        <w:rPr>
          <w:rFonts w:hint="eastAsia" w:ascii="宋体" w:hAnsi="宋体"/>
          <w:bCs/>
        </w:rPr>
        <w:t>29.3.1</w:t>
      </w:r>
      <w:r>
        <w:rPr>
          <w:rFonts w:ascii="宋体" w:hAnsi="宋体"/>
          <w:bCs/>
        </w:rPr>
        <w:t>供应商直接或者间接从采购人或者采购代理机构处获得其他供应商的相关情况并修改其投标文件或者响应文件；</w:t>
      </w:r>
    </w:p>
    <w:p>
      <w:pPr>
        <w:snapToGrid w:val="0"/>
        <w:spacing w:line="360" w:lineRule="auto"/>
        <w:ind w:firstLine="420" w:firstLineChars="200"/>
        <w:rPr>
          <w:rFonts w:ascii="宋体" w:hAnsi="宋体"/>
          <w:bCs/>
        </w:rPr>
      </w:pPr>
      <w:r>
        <w:rPr>
          <w:rFonts w:hint="eastAsia" w:ascii="宋体" w:hAnsi="宋体"/>
          <w:bCs/>
        </w:rPr>
        <w:t>29.3.2</w:t>
      </w:r>
      <w:r>
        <w:rPr>
          <w:rFonts w:ascii="宋体" w:hAnsi="宋体"/>
          <w:bCs/>
        </w:rPr>
        <w:t>供应商按照采购人或者采购代理机构的授意撤换、修改投标文件或者响应文件；</w:t>
      </w:r>
    </w:p>
    <w:p>
      <w:pPr>
        <w:snapToGrid w:val="0"/>
        <w:spacing w:line="360" w:lineRule="auto"/>
        <w:ind w:firstLine="420" w:firstLineChars="200"/>
        <w:rPr>
          <w:rFonts w:ascii="宋体" w:hAnsi="宋体"/>
          <w:bCs/>
        </w:rPr>
      </w:pPr>
      <w:r>
        <w:rPr>
          <w:rFonts w:hint="eastAsia" w:ascii="宋体" w:hAnsi="宋体"/>
          <w:bCs/>
        </w:rPr>
        <w:t>29.3.3</w:t>
      </w:r>
      <w:r>
        <w:rPr>
          <w:rFonts w:ascii="宋体" w:hAnsi="宋体"/>
          <w:bCs/>
        </w:rPr>
        <w:t>供应商之间协商报价、技术方案等投标文件或者响应文件的实质性内容；</w:t>
      </w:r>
    </w:p>
    <w:p>
      <w:pPr>
        <w:snapToGrid w:val="0"/>
        <w:spacing w:line="360" w:lineRule="auto"/>
        <w:ind w:firstLine="420" w:firstLineChars="200"/>
        <w:rPr>
          <w:rFonts w:ascii="宋体" w:hAnsi="宋体"/>
          <w:bCs/>
        </w:rPr>
      </w:pPr>
      <w:r>
        <w:rPr>
          <w:rFonts w:hint="eastAsia" w:ascii="宋体" w:hAnsi="宋体"/>
          <w:bCs/>
        </w:rPr>
        <w:t>29.3.4</w:t>
      </w:r>
      <w:r>
        <w:rPr>
          <w:rFonts w:ascii="宋体" w:hAnsi="宋体"/>
          <w:bCs/>
        </w:rPr>
        <w:t>属于同一集团、协会、商会等组织成员的供应商按照该组织要求协同参加采购活动；</w:t>
      </w:r>
    </w:p>
    <w:p>
      <w:pPr>
        <w:snapToGrid w:val="0"/>
        <w:spacing w:line="360" w:lineRule="auto"/>
        <w:ind w:firstLine="420" w:firstLineChars="200"/>
        <w:rPr>
          <w:rFonts w:ascii="宋体" w:hAnsi="宋体"/>
          <w:bCs/>
        </w:rPr>
      </w:pPr>
      <w:r>
        <w:rPr>
          <w:rFonts w:hint="eastAsia" w:ascii="宋体" w:hAnsi="宋体"/>
          <w:bCs/>
        </w:rPr>
        <w:t>29.3.5</w:t>
      </w:r>
      <w:r>
        <w:rPr>
          <w:rFonts w:ascii="宋体" w:hAnsi="宋体"/>
          <w:bCs/>
        </w:rPr>
        <w:t>供应商之间事先约定由某一特定供应商中标、成交；</w:t>
      </w:r>
    </w:p>
    <w:p>
      <w:pPr>
        <w:snapToGrid w:val="0"/>
        <w:spacing w:line="360" w:lineRule="auto"/>
        <w:ind w:firstLine="420" w:firstLineChars="200"/>
        <w:rPr>
          <w:rFonts w:ascii="宋体" w:hAnsi="宋体"/>
          <w:bCs/>
        </w:rPr>
      </w:pPr>
      <w:r>
        <w:rPr>
          <w:rFonts w:hint="eastAsia" w:ascii="宋体" w:hAnsi="宋体"/>
          <w:bCs/>
        </w:rPr>
        <w:t>29.3.6</w:t>
      </w:r>
      <w:r>
        <w:rPr>
          <w:rFonts w:ascii="宋体" w:hAnsi="宋体"/>
          <w:bCs/>
        </w:rPr>
        <w:t>供应商之间商定部分供应商放弃参加采购活动或者放弃中标、成交；</w:t>
      </w:r>
    </w:p>
    <w:p>
      <w:pPr>
        <w:snapToGrid w:val="0"/>
        <w:spacing w:line="360" w:lineRule="auto"/>
        <w:ind w:firstLine="420" w:firstLineChars="200"/>
        <w:rPr>
          <w:rFonts w:ascii="宋体" w:hAnsi="宋体"/>
          <w:bCs/>
        </w:rPr>
      </w:pPr>
      <w:r>
        <w:rPr>
          <w:rFonts w:hint="eastAsia" w:ascii="宋体" w:hAnsi="宋体"/>
          <w:bCs/>
        </w:rPr>
        <w:t>29.3.7</w:t>
      </w:r>
      <w:r>
        <w:rPr>
          <w:rFonts w:ascii="宋体" w:hAnsi="宋体"/>
          <w:bCs/>
        </w:rPr>
        <w:t>供应商与采购人或者采购代理机构之间、供应商相互之间，为谋求特定供应商中标、成交或者排斥其他供应商的其他串通行为。</w:t>
      </w:r>
    </w:p>
    <w:p>
      <w:pPr>
        <w:pStyle w:val="19"/>
        <w:snapToGrid w:val="0"/>
        <w:spacing w:line="360" w:lineRule="auto"/>
        <w:ind w:firstLine="422" w:firstLineChars="200"/>
        <w:rPr>
          <w:rFonts w:ascii="宋体" w:hAnsi="宋体" w:eastAsia="宋体"/>
          <w:b/>
          <w:sz w:val="21"/>
          <w:szCs w:val="21"/>
        </w:rPr>
      </w:pPr>
      <w:r>
        <w:rPr>
          <w:rFonts w:hint="eastAsia" w:ascii="宋体" w:hAnsi="宋体" w:eastAsia="宋体"/>
          <w:b/>
          <w:sz w:val="21"/>
          <w:szCs w:val="21"/>
        </w:rPr>
        <w:t>30、质疑处理</w:t>
      </w:r>
      <w:bookmarkEnd w:id="144"/>
    </w:p>
    <w:p>
      <w:pPr>
        <w:snapToGrid w:val="0"/>
        <w:spacing w:line="360" w:lineRule="auto"/>
        <w:ind w:firstLine="420" w:firstLineChars="200"/>
        <w:rPr>
          <w:rFonts w:ascii="宋体" w:hAnsi="宋体"/>
          <w:bCs/>
        </w:rPr>
      </w:pPr>
      <w:r>
        <w:rPr>
          <w:rFonts w:hint="eastAsia" w:ascii="宋体" w:hAnsi="宋体"/>
          <w:bCs/>
        </w:rPr>
        <w:t>30.1参加投标供应商认为采购文件、采购过程和采购结果使自己的权益受到损害的，</w:t>
      </w:r>
      <w:r>
        <w:rPr>
          <w:rFonts w:hint="eastAsia" w:ascii="宋体" w:hAnsi="宋体"/>
          <w:b/>
          <w:bCs/>
        </w:rPr>
        <w:t>可以在知道或应知其权益受到损害之日起七个工作日内</w:t>
      </w:r>
      <w:r>
        <w:rPr>
          <w:rFonts w:hint="eastAsia" w:ascii="宋体" w:hAnsi="宋体"/>
          <w:bCs/>
        </w:rPr>
        <w:t>，以书面形式向代理机构或采购人提出质疑。上述应知其权益受到损害之日，是指：</w:t>
      </w:r>
    </w:p>
    <w:p>
      <w:pPr>
        <w:snapToGrid w:val="0"/>
        <w:spacing w:line="360" w:lineRule="auto"/>
        <w:ind w:firstLine="420" w:firstLineChars="200"/>
        <w:rPr>
          <w:rFonts w:ascii="宋体" w:hAnsi="宋体"/>
          <w:bCs/>
        </w:rPr>
      </w:pPr>
      <w:r>
        <w:rPr>
          <w:rFonts w:hint="eastAsia" w:ascii="宋体" w:hAnsi="宋体"/>
          <w:bCs/>
        </w:rPr>
        <w:t>30.1.1</w:t>
      </w:r>
      <w:r>
        <w:rPr>
          <w:rFonts w:ascii="宋体" w:hAnsi="宋体"/>
          <w:bCs/>
        </w:rPr>
        <w:t>对可以质疑的采购文件提出质疑的，为收到采购文件之日或者采购文件公告期限届满之日；</w:t>
      </w:r>
      <w:r>
        <w:rPr>
          <w:rFonts w:ascii="宋体" w:hAnsi="宋体"/>
          <w:bCs/>
        </w:rPr>
        <w:br w:type="textWrapping"/>
      </w:r>
      <w:r>
        <w:rPr>
          <w:rFonts w:ascii="宋体" w:hAnsi="宋体"/>
          <w:bCs/>
        </w:rPr>
        <w:t>　　</w:t>
      </w:r>
      <w:r>
        <w:rPr>
          <w:rFonts w:hint="eastAsia" w:ascii="宋体" w:hAnsi="宋体"/>
          <w:bCs/>
        </w:rPr>
        <w:t>30.1.2</w:t>
      </w:r>
      <w:r>
        <w:rPr>
          <w:rFonts w:ascii="宋体" w:hAnsi="宋体"/>
          <w:bCs/>
        </w:rPr>
        <w:t>对采购过程提出质疑的，为各采购程序环节结束之日；</w:t>
      </w:r>
      <w:r>
        <w:rPr>
          <w:rFonts w:ascii="宋体" w:hAnsi="宋体"/>
          <w:bCs/>
        </w:rPr>
        <w:br w:type="textWrapping"/>
      </w:r>
      <w:r>
        <w:rPr>
          <w:rFonts w:ascii="宋体" w:hAnsi="宋体"/>
          <w:bCs/>
        </w:rPr>
        <w:t>　　</w:t>
      </w:r>
      <w:r>
        <w:rPr>
          <w:rFonts w:hint="eastAsia" w:ascii="宋体" w:hAnsi="宋体"/>
          <w:bCs/>
        </w:rPr>
        <w:t>30.1.3</w:t>
      </w:r>
      <w:r>
        <w:rPr>
          <w:rFonts w:ascii="宋体" w:hAnsi="宋体"/>
          <w:bCs/>
        </w:rPr>
        <w:t>对中标或者成交结果提出质疑的，为中标或者成交结果公告期限届满之日。</w:t>
      </w:r>
    </w:p>
    <w:p>
      <w:pPr>
        <w:snapToGrid w:val="0"/>
        <w:spacing w:line="360" w:lineRule="auto"/>
        <w:ind w:firstLine="420" w:firstLineChars="200"/>
        <w:rPr>
          <w:rFonts w:ascii="宋体" w:hAnsi="宋体"/>
          <w:bCs/>
        </w:rPr>
      </w:pPr>
      <w:r>
        <w:rPr>
          <w:rFonts w:hint="eastAsia" w:ascii="宋体" w:hAnsi="宋体"/>
          <w:bCs/>
        </w:rPr>
        <w:t>30.2质疑必须以参加投标供应商法定代表人或授权代表（投标文件中所确定的）原件送达的方式提交，未按上述要求提交的质疑函（含传真、电子邮件等）代理机构有权不予受理。</w:t>
      </w:r>
    </w:p>
    <w:p>
      <w:pPr>
        <w:snapToGrid w:val="0"/>
        <w:spacing w:line="360" w:lineRule="auto"/>
        <w:ind w:firstLine="420" w:firstLineChars="200"/>
        <w:rPr>
          <w:rFonts w:ascii="宋体" w:hAnsi="宋体"/>
          <w:bCs/>
        </w:rPr>
      </w:pPr>
      <w:r>
        <w:rPr>
          <w:rFonts w:hint="eastAsia" w:ascii="宋体" w:hAnsi="宋体"/>
          <w:bCs/>
        </w:rPr>
        <w:t>30.3未参加投标活动的供应商或在投标活动中自身权益未受到损害的供应商所提出的质疑不予受理。</w:t>
      </w:r>
    </w:p>
    <w:p>
      <w:pPr>
        <w:snapToGrid w:val="0"/>
        <w:spacing w:line="360" w:lineRule="auto"/>
        <w:ind w:firstLine="420" w:firstLineChars="200"/>
        <w:rPr>
          <w:rFonts w:ascii="宋体" w:hAnsi="宋体"/>
          <w:b/>
          <w:bCs/>
        </w:rPr>
      </w:pPr>
      <w:r>
        <w:rPr>
          <w:rFonts w:hint="eastAsia" w:ascii="宋体" w:hAnsi="宋体"/>
          <w:bCs/>
        </w:rPr>
        <w:t>30.4</w:t>
      </w:r>
      <w:r>
        <w:rPr>
          <w:rFonts w:hint="eastAsia" w:ascii="宋体" w:hAnsi="宋体"/>
          <w:b/>
          <w:bCs/>
        </w:rPr>
        <w:t>质疑函应当包括下列内容：</w:t>
      </w:r>
    </w:p>
    <w:p>
      <w:pPr>
        <w:snapToGrid w:val="0"/>
        <w:spacing w:line="360" w:lineRule="auto"/>
        <w:ind w:firstLine="420" w:firstLineChars="200"/>
        <w:rPr>
          <w:rFonts w:ascii="宋体" w:hAnsi="宋体"/>
          <w:bCs/>
        </w:rPr>
      </w:pPr>
      <w:r>
        <w:rPr>
          <w:rFonts w:hint="eastAsia" w:ascii="宋体" w:hAnsi="宋体"/>
          <w:bCs/>
        </w:rPr>
        <w:t>30.4.1质疑供应商的名称、地址、邮编、联系人、联系电话；</w:t>
      </w:r>
    </w:p>
    <w:p>
      <w:pPr>
        <w:snapToGrid w:val="0"/>
        <w:spacing w:line="360" w:lineRule="auto"/>
        <w:ind w:firstLine="420" w:firstLineChars="200"/>
        <w:rPr>
          <w:rFonts w:ascii="宋体" w:hAnsi="宋体"/>
          <w:bCs/>
        </w:rPr>
      </w:pPr>
      <w:r>
        <w:rPr>
          <w:rFonts w:hint="eastAsia" w:ascii="宋体" w:hAnsi="宋体"/>
          <w:bCs/>
        </w:rPr>
        <w:t>30.4.2具体的质疑事项及明确的请求；</w:t>
      </w:r>
    </w:p>
    <w:p>
      <w:pPr>
        <w:snapToGrid w:val="0"/>
        <w:spacing w:line="360" w:lineRule="auto"/>
        <w:ind w:firstLine="420" w:firstLineChars="200"/>
        <w:rPr>
          <w:rFonts w:ascii="宋体" w:hAnsi="宋体"/>
          <w:bCs/>
        </w:rPr>
      </w:pPr>
      <w:r>
        <w:rPr>
          <w:rFonts w:hint="eastAsia" w:ascii="宋体" w:hAnsi="宋体"/>
          <w:bCs/>
        </w:rPr>
        <w:t>30.4.3认为自己合法权益受到损害或可能受到损害的相关证据材料；</w:t>
      </w:r>
    </w:p>
    <w:p>
      <w:pPr>
        <w:snapToGrid w:val="0"/>
        <w:spacing w:line="360" w:lineRule="auto"/>
        <w:ind w:firstLine="420" w:firstLineChars="200"/>
        <w:rPr>
          <w:rFonts w:ascii="宋体" w:hAnsi="宋体"/>
          <w:bCs/>
        </w:rPr>
      </w:pPr>
      <w:r>
        <w:rPr>
          <w:rFonts w:hint="eastAsia" w:ascii="宋体" w:hAnsi="宋体"/>
          <w:bCs/>
        </w:rPr>
        <w:t>30.4.4提起质疑的日期；</w:t>
      </w:r>
    </w:p>
    <w:p>
      <w:pPr>
        <w:snapToGrid w:val="0"/>
        <w:spacing w:line="360" w:lineRule="auto"/>
        <w:ind w:firstLine="420" w:firstLineChars="200"/>
        <w:rPr>
          <w:rFonts w:ascii="宋体" w:hAnsi="宋体"/>
          <w:bCs/>
        </w:rPr>
      </w:pPr>
      <w:r>
        <w:rPr>
          <w:rFonts w:hint="eastAsia" w:ascii="宋体" w:hAnsi="宋体"/>
          <w:bCs/>
        </w:rPr>
        <w:t>30.4.5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pPr>
        <w:snapToGrid w:val="0"/>
        <w:spacing w:line="360" w:lineRule="auto"/>
        <w:ind w:firstLine="420" w:firstLineChars="200"/>
        <w:rPr>
          <w:rFonts w:ascii="宋体" w:hAnsi="宋体"/>
          <w:bCs/>
        </w:rPr>
      </w:pPr>
      <w:r>
        <w:rPr>
          <w:rFonts w:hint="eastAsia" w:ascii="宋体" w:hAnsi="宋体"/>
          <w:bCs/>
        </w:rPr>
        <w:t>30.5代理机构收到质疑函后，将对质疑的形式和内容进行审查，如质疑函内容、格式不符合规定，代理机构将告知质疑人进行补正。</w:t>
      </w:r>
    </w:p>
    <w:p>
      <w:pPr>
        <w:snapToGrid w:val="0"/>
        <w:spacing w:line="360" w:lineRule="auto"/>
        <w:ind w:firstLine="420" w:firstLineChars="200"/>
        <w:rPr>
          <w:rFonts w:ascii="宋体" w:hAnsi="宋体"/>
          <w:bCs/>
        </w:rPr>
      </w:pPr>
      <w:r>
        <w:rPr>
          <w:rFonts w:hint="eastAsia" w:ascii="宋体" w:hAnsi="宋体"/>
          <w:bCs/>
        </w:rPr>
        <w:t>30.6质疑人应当在法定质疑期限内进行补正并重新提交质疑函，拒不补正或者在法定期限内未重新提交质疑函的，为无效质疑，代理机构有权不予受理。</w:t>
      </w:r>
    </w:p>
    <w:p>
      <w:pPr>
        <w:snapToGrid w:val="0"/>
        <w:spacing w:line="360" w:lineRule="auto"/>
        <w:ind w:firstLine="420" w:firstLineChars="200"/>
        <w:rPr>
          <w:rFonts w:ascii="宋体" w:hAnsi="宋体"/>
          <w:bCs/>
        </w:rPr>
      </w:pPr>
      <w:r>
        <w:rPr>
          <w:rFonts w:hint="eastAsia" w:ascii="宋体" w:hAnsi="宋体"/>
          <w:bCs/>
        </w:rPr>
        <w:t>30.7对于内容、格式符合规定的质疑函，</w:t>
      </w:r>
      <w:r>
        <w:rPr>
          <w:rFonts w:hint="eastAsia" w:ascii="宋体" w:hAnsi="宋体"/>
          <w:b/>
          <w:bCs/>
        </w:rPr>
        <w:t>代理机构应当在收到投标供应商的书面质疑后七个工作日内作出答复</w:t>
      </w:r>
      <w:r>
        <w:rPr>
          <w:rFonts w:hint="eastAsia" w:ascii="宋体" w:hAnsi="宋体"/>
          <w:bCs/>
        </w:rPr>
        <w:t>，并以书面形式通知质疑供应商和其他有关供应商，但答复的内容不得涉及商业秘密。</w:t>
      </w:r>
    </w:p>
    <w:p>
      <w:pPr>
        <w:snapToGrid w:val="0"/>
        <w:spacing w:line="360" w:lineRule="auto"/>
        <w:ind w:firstLine="420" w:firstLineChars="200"/>
        <w:rPr>
          <w:rFonts w:ascii="宋体" w:hAnsi="宋体"/>
          <w:bCs/>
        </w:rPr>
      </w:pPr>
      <w:r>
        <w:rPr>
          <w:rFonts w:hint="eastAsia" w:ascii="宋体" w:hAnsi="宋体"/>
          <w:bCs/>
        </w:rPr>
        <w:t>30.8供应商提出书面质疑必须有理、有据，不得恶意质疑或提交虚假质疑。否则，一经查实，代理机构有权依据《江苏省政府采购供应商监督管理暂行办法》的规定，扣减其诚信记录分，并报请政府采购监管部门对该供应商进行相应的行政处罚。</w:t>
      </w:r>
    </w:p>
    <w:p>
      <w:pPr>
        <w:pStyle w:val="19"/>
        <w:snapToGrid w:val="0"/>
        <w:spacing w:line="360" w:lineRule="auto"/>
        <w:rPr>
          <w:rFonts w:ascii="宋体" w:hAnsi="宋体" w:eastAsia="宋体"/>
          <w:b/>
          <w:sz w:val="21"/>
          <w:szCs w:val="21"/>
        </w:rPr>
      </w:pPr>
      <w:r>
        <w:rPr>
          <w:rFonts w:hint="eastAsia" w:ascii="宋体" w:hAnsi="宋体" w:eastAsia="宋体"/>
          <w:b/>
          <w:sz w:val="21"/>
          <w:szCs w:val="21"/>
        </w:rPr>
        <w:t>31、中标通知书</w:t>
      </w:r>
    </w:p>
    <w:p>
      <w:pPr>
        <w:snapToGrid w:val="0"/>
        <w:spacing w:line="360" w:lineRule="auto"/>
        <w:ind w:firstLine="420" w:firstLineChars="200"/>
        <w:rPr>
          <w:rFonts w:ascii="宋体" w:hAnsi="宋体"/>
          <w:bCs/>
        </w:rPr>
      </w:pPr>
      <w:r>
        <w:rPr>
          <w:rFonts w:hint="eastAsia" w:ascii="宋体" w:hAnsi="宋体"/>
          <w:bCs/>
        </w:rPr>
        <w:t>31.l 中标结果确定后，采购人、代理机构将向中标供应商发出中标通知书。</w:t>
      </w:r>
    </w:p>
    <w:p>
      <w:pPr>
        <w:snapToGrid w:val="0"/>
        <w:spacing w:line="360" w:lineRule="auto"/>
        <w:ind w:firstLine="420" w:firstLineChars="200"/>
        <w:rPr>
          <w:rFonts w:ascii="宋体" w:hAnsi="宋体"/>
          <w:bCs/>
        </w:rPr>
      </w:pPr>
      <w:r>
        <w:rPr>
          <w:rFonts w:hint="eastAsia" w:ascii="宋体" w:hAnsi="宋体"/>
          <w:bCs/>
        </w:rPr>
        <w:t>31.2 中标供应商法定代表人或授权代表（投标文件中所确定的）须到代理机构现场签收中标通知书。</w:t>
      </w:r>
    </w:p>
    <w:p>
      <w:pPr>
        <w:snapToGrid w:val="0"/>
        <w:spacing w:line="360" w:lineRule="auto"/>
        <w:ind w:firstLine="420" w:firstLineChars="200"/>
        <w:rPr>
          <w:rFonts w:ascii="宋体" w:hAnsi="宋体"/>
          <w:bCs/>
        </w:rPr>
      </w:pPr>
      <w:r>
        <w:rPr>
          <w:rFonts w:hint="eastAsia" w:ascii="宋体" w:hAnsi="宋体"/>
          <w:bCs/>
        </w:rPr>
        <w:t>31.3中标通知书将是合同的一个组成部分。对采购人和中标供应商均具有法律效力。中标通知书发出后，采购人改变中标结果的，或者中标供应商放弃中标项目的，应当依法承担法律责任。</w:t>
      </w:r>
    </w:p>
    <w:p>
      <w:pPr>
        <w:snapToGrid w:val="0"/>
        <w:spacing w:line="360" w:lineRule="auto"/>
        <w:ind w:firstLine="420" w:firstLineChars="200"/>
        <w:rPr>
          <w:rFonts w:ascii="宋体" w:hAnsi="宋体"/>
          <w:bCs/>
        </w:rPr>
      </w:pPr>
    </w:p>
    <w:p>
      <w:pPr>
        <w:snapToGrid w:val="0"/>
        <w:spacing w:line="360" w:lineRule="auto"/>
        <w:jc w:val="center"/>
        <w:outlineLvl w:val="1"/>
        <w:rPr>
          <w:rFonts w:ascii="宋体" w:hAnsi="宋体"/>
          <w:b/>
          <w:sz w:val="30"/>
          <w:szCs w:val="30"/>
        </w:rPr>
      </w:pPr>
      <w:bookmarkStart w:id="145" w:name="_Toc120614220"/>
      <w:bookmarkStart w:id="146" w:name="_Toc16938552"/>
      <w:bookmarkStart w:id="147" w:name="_Toc513029236"/>
      <w:bookmarkStart w:id="148" w:name="_Toc20823308"/>
      <w:r>
        <w:rPr>
          <w:rFonts w:hint="eastAsia" w:ascii="宋体" w:hAnsi="宋体"/>
          <w:b/>
          <w:sz w:val="30"/>
          <w:szCs w:val="30"/>
        </w:rPr>
        <w:t>七、合同</w:t>
      </w:r>
      <w:bookmarkEnd w:id="145"/>
      <w:r>
        <w:rPr>
          <w:rFonts w:hint="eastAsia" w:ascii="宋体" w:hAnsi="宋体"/>
          <w:b/>
          <w:sz w:val="30"/>
          <w:szCs w:val="30"/>
        </w:rPr>
        <w:t>签订相关事项</w:t>
      </w:r>
    </w:p>
    <w:bookmarkEnd w:id="146"/>
    <w:bookmarkEnd w:id="147"/>
    <w:bookmarkEnd w:id="148"/>
    <w:p>
      <w:pPr>
        <w:pStyle w:val="19"/>
        <w:spacing w:line="360" w:lineRule="auto"/>
        <w:contextualSpacing/>
        <w:rPr>
          <w:rFonts w:ascii="宋体" w:hAnsi="宋体" w:eastAsia="宋体"/>
          <w:b/>
          <w:sz w:val="21"/>
          <w:szCs w:val="21"/>
        </w:rPr>
      </w:pPr>
      <w:bookmarkStart w:id="149" w:name="_Toc16938553"/>
      <w:bookmarkStart w:id="150" w:name="_Toc20823309"/>
      <w:bookmarkStart w:id="151" w:name="_Toc513029237"/>
      <w:r>
        <w:rPr>
          <w:rFonts w:hint="eastAsia" w:ascii="宋体" w:hAnsi="宋体" w:eastAsia="宋体"/>
          <w:b/>
          <w:sz w:val="21"/>
          <w:szCs w:val="21"/>
        </w:rPr>
        <w:t>32. 签订合同</w:t>
      </w:r>
    </w:p>
    <w:p>
      <w:pPr>
        <w:spacing w:line="360" w:lineRule="auto"/>
        <w:ind w:firstLine="420" w:firstLineChars="200"/>
        <w:contextualSpacing/>
        <w:rPr>
          <w:rFonts w:ascii="宋体" w:hAnsi="宋体"/>
          <w:bCs/>
        </w:rPr>
      </w:pPr>
      <w:r>
        <w:rPr>
          <w:rFonts w:hint="eastAsia" w:ascii="宋体" w:hAnsi="宋体"/>
          <w:bCs/>
        </w:rPr>
        <w:t>32.l中标人应按中标通知书规定的时间、地点,按照招标文件确定的事项与采购人签订合同，且不得迟于中标通知书发出之日起三十日内，否则履约保证金将不予退还，由此给采购人造成损失的，中标人还应承担赔偿责任。</w:t>
      </w:r>
    </w:p>
    <w:p>
      <w:pPr>
        <w:spacing w:line="360" w:lineRule="auto"/>
        <w:ind w:firstLine="420" w:firstLineChars="200"/>
        <w:contextualSpacing/>
        <w:rPr>
          <w:rFonts w:ascii="宋体" w:hAnsi="宋体"/>
          <w:bCs/>
        </w:rPr>
      </w:pPr>
      <w:r>
        <w:rPr>
          <w:rFonts w:hint="eastAsia" w:ascii="宋体" w:hAnsi="宋体"/>
          <w:bCs/>
        </w:rPr>
        <w:t>32.2 招标文件、中标人的投标文件及招标过程中有关澄清、承诺文件均应作为合同附件。</w:t>
      </w:r>
    </w:p>
    <w:p>
      <w:pPr>
        <w:spacing w:line="360" w:lineRule="auto"/>
        <w:ind w:firstLine="420" w:firstLineChars="200"/>
        <w:contextualSpacing/>
        <w:rPr>
          <w:rFonts w:ascii="宋体" w:hAnsi="宋体"/>
          <w:bCs/>
        </w:rPr>
      </w:pPr>
      <w:r>
        <w:rPr>
          <w:rFonts w:hint="eastAsia" w:ascii="宋体" w:hAnsi="宋体"/>
          <w:bCs/>
        </w:rPr>
        <w:t>32.3 签订合同后，中标人不得将货物、服务及其他相关服务进行转包。未经采购人同意，中标人也不得采用分包的形式履行合同，否则采购人有权终止合同，中标人的履约保证金将不予退还。转包或分包造成采购人损失的，中标人应承担相应赔偿责任。</w:t>
      </w:r>
    </w:p>
    <w:p>
      <w:pPr>
        <w:pStyle w:val="19"/>
        <w:spacing w:line="360" w:lineRule="auto"/>
        <w:contextualSpacing/>
        <w:rPr>
          <w:rFonts w:ascii="宋体" w:hAnsi="宋体" w:eastAsia="宋体"/>
          <w:b/>
          <w:sz w:val="21"/>
          <w:szCs w:val="21"/>
        </w:rPr>
      </w:pPr>
      <w:r>
        <w:rPr>
          <w:rFonts w:hint="eastAsia" w:ascii="宋体" w:hAnsi="宋体" w:eastAsia="宋体"/>
          <w:b/>
          <w:sz w:val="21"/>
          <w:szCs w:val="21"/>
        </w:rPr>
        <w:t>33、货物和服务的追加、减少和添购</w:t>
      </w:r>
    </w:p>
    <w:p>
      <w:pPr>
        <w:spacing w:line="360" w:lineRule="auto"/>
        <w:ind w:firstLine="420" w:firstLineChars="200"/>
        <w:contextualSpacing/>
        <w:rPr>
          <w:rFonts w:ascii="宋体" w:hAnsi="宋体"/>
          <w:bCs/>
        </w:rPr>
      </w:pPr>
      <w:r>
        <w:rPr>
          <w:rFonts w:hint="eastAsia" w:ascii="宋体" w:hAnsi="宋体"/>
          <w:bCs/>
        </w:rPr>
        <w:t>33.1本项目合同履行中，采购人需追加与合同标的相同的货物和服务的，在不改变合同其他条款的前提下，报相关部门同意后，可以与中标人协商签订补充合同，但所有补充合同的采购金额不超过原合同金额10%。</w:t>
      </w:r>
    </w:p>
    <w:p>
      <w:pPr>
        <w:spacing w:line="360" w:lineRule="auto"/>
        <w:ind w:firstLine="420" w:firstLineChars="200"/>
        <w:contextualSpacing/>
        <w:rPr>
          <w:rFonts w:ascii="宋体" w:hAnsi="宋体"/>
          <w:bCs/>
        </w:rPr>
      </w:pPr>
      <w:r>
        <w:rPr>
          <w:rFonts w:hint="eastAsia" w:ascii="宋体" w:hAnsi="宋体"/>
          <w:bCs/>
        </w:rPr>
        <w:t>33.2采购结束后，采购人若由于各种客观原因，必须对采购项目所牵涉的货物和服务进行适当的减少时，在双方协商一致的前提下，可以按照招标采购时的价格水平做相应的调减，并据此签订补充合同。</w:t>
      </w:r>
    </w:p>
    <w:p>
      <w:pPr>
        <w:pStyle w:val="19"/>
        <w:spacing w:line="360" w:lineRule="auto"/>
        <w:ind w:firstLine="422" w:firstLineChars="200"/>
        <w:contextualSpacing/>
        <w:rPr>
          <w:rFonts w:ascii="宋体" w:hAnsi="宋体" w:eastAsia="宋体"/>
          <w:b/>
          <w:sz w:val="21"/>
          <w:szCs w:val="21"/>
        </w:rPr>
      </w:pPr>
      <w:r>
        <w:rPr>
          <w:rFonts w:hint="eastAsia" w:ascii="宋体" w:hAnsi="宋体" w:eastAsia="宋体"/>
          <w:b/>
          <w:sz w:val="21"/>
          <w:szCs w:val="21"/>
        </w:rPr>
        <w:t>34、履约保证金：合同价的5% 。中标人须在中标通知书发出后7日内交齐履约保证金后根据招标文件的要求签订合同，否则视为自动放弃中标资格，且投标保证金不予退还。</w:t>
      </w:r>
      <w:r>
        <w:rPr>
          <w:rFonts w:ascii="宋体" w:hAnsi="宋体" w:eastAsia="宋体"/>
          <w:b/>
          <w:sz w:val="21"/>
          <w:szCs w:val="21"/>
        </w:rPr>
        <w:t>履约保证金在项目</w:t>
      </w:r>
      <w:r>
        <w:rPr>
          <w:rFonts w:hint="eastAsia" w:ascii="宋体" w:hAnsi="宋体" w:eastAsia="宋体"/>
          <w:b/>
          <w:sz w:val="21"/>
          <w:szCs w:val="21"/>
        </w:rPr>
        <w:t>服务期满后</w:t>
      </w:r>
      <w:r>
        <w:rPr>
          <w:rFonts w:ascii="宋体" w:hAnsi="宋体" w:eastAsia="宋体"/>
          <w:b/>
          <w:sz w:val="21"/>
          <w:szCs w:val="21"/>
        </w:rPr>
        <w:t>按实际履约情况退还（无息）。</w:t>
      </w:r>
    </w:p>
    <w:bookmarkEnd w:id="149"/>
    <w:bookmarkEnd w:id="150"/>
    <w:bookmarkEnd w:id="151"/>
    <w:p>
      <w:pPr>
        <w:snapToGrid w:val="0"/>
        <w:spacing w:line="360" w:lineRule="auto"/>
        <w:jc w:val="center"/>
        <w:rPr>
          <w:rFonts w:ascii="宋体" w:hAnsi="宋体"/>
          <w:b/>
          <w:sz w:val="32"/>
          <w:szCs w:val="32"/>
        </w:rPr>
      </w:pPr>
      <w:bookmarkStart w:id="152" w:name="_Toc20823314"/>
      <w:bookmarkStart w:id="153" w:name="_Toc479962291"/>
      <w:bookmarkStart w:id="154" w:name="_Toc479757207"/>
      <w:bookmarkStart w:id="155" w:name="_Toc513029242"/>
      <w:bookmarkStart w:id="156" w:name="_Toc16938558"/>
      <w:bookmarkStart w:id="157" w:name="_Toc120614221"/>
    </w:p>
    <w:p>
      <w:pPr>
        <w:pStyle w:val="19"/>
        <w:spacing w:line="460" w:lineRule="exact"/>
        <w:jc w:val="center"/>
        <w:rPr>
          <w:rFonts w:ascii="宋体" w:hAnsi="宋体" w:eastAsia="宋体"/>
          <w:b/>
        </w:rPr>
      </w:pPr>
      <w:r>
        <w:rPr>
          <w:rFonts w:hint="eastAsia" w:ascii="宋体" w:hAnsi="宋体" w:eastAsia="宋体"/>
          <w:b/>
          <w:sz w:val="30"/>
          <w:szCs w:val="30"/>
        </w:rPr>
        <w:t>八、采购代理服务费</w:t>
      </w:r>
    </w:p>
    <w:p>
      <w:pPr>
        <w:pStyle w:val="19"/>
        <w:spacing w:line="460" w:lineRule="exact"/>
        <w:ind w:firstLine="422" w:firstLineChars="200"/>
        <w:rPr>
          <w:rFonts w:ascii="宋体" w:hAnsi="宋体" w:eastAsia="宋体"/>
          <w:b/>
          <w:bCs/>
          <w:sz w:val="21"/>
          <w:szCs w:val="21"/>
        </w:rPr>
      </w:pPr>
      <w:r>
        <w:rPr>
          <w:rFonts w:hint="eastAsia" w:ascii="宋体" w:hAnsi="宋体" w:eastAsia="宋体"/>
          <w:b/>
          <w:bCs/>
          <w:sz w:val="21"/>
          <w:szCs w:val="21"/>
        </w:rPr>
        <w:t>被确认成交的成交供应商须向采购代理机构支付服务费及评委费。服务费2600元，评委费6500元 ，中标单位于中标通知书领取时支付。</w:t>
      </w: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r>
        <w:rPr>
          <w:rFonts w:hint="eastAsia" w:ascii="宋体" w:hAnsi="宋体"/>
          <w:b/>
          <w:sz w:val="32"/>
          <w:szCs w:val="32"/>
        </w:rPr>
        <w:t>第三章    合同条款及格式</w:t>
      </w:r>
    </w:p>
    <w:p>
      <w:pPr>
        <w:spacing w:line="360" w:lineRule="exact"/>
        <w:jc w:val="center"/>
      </w:pPr>
      <w:r>
        <w:rPr>
          <w:rFonts w:hint="eastAsia"/>
          <w:b/>
          <w:bCs/>
          <w:sz w:val="29"/>
        </w:rPr>
        <w:t>南通农副产品物流有限公司消防维保项目合同</w:t>
      </w:r>
    </w:p>
    <w:p>
      <w:pPr>
        <w:tabs>
          <w:tab w:val="left" w:pos="1440"/>
        </w:tabs>
        <w:spacing w:line="360" w:lineRule="auto"/>
        <w:ind w:left="1433" w:hanging="1432" w:hangingChars="597"/>
        <w:rPr>
          <w:rFonts w:ascii="宋体" w:hAnsi="宋体"/>
          <w:bCs/>
          <w:sz w:val="24"/>
        </w:rPr>
      </w:pPr>
      <w:r>
        <w:rPr>
          <w:rFonts w:ascii="宋体" w:hAnsi="宋体"/>
          <w:bCs/>
          <w:sz w:val="24"/>
        </w:rPr>
        <w:t>甲方：</w:t>
      </w:r>
      <w:r>
        <w:rPr>
          <w:rFonts w:hint="eastAsia" w:ascii="宋体" w:hAnsi="宋体"/>
          <w:bCs/>
          <w:sz w:val="24"/>
          <w:u w:val="single"/>
        </w:rPr>
        <w:t xml:space="preserve"> 南通农副产品物流有限公司</w:t>
      </w:r>
      <w:r>
        <w:rPr>
          <w:rFonts w:ascii="宋体" w:hAnsi="宋体"/>
          <w:bCs/>
          <w:sz w:val="24"/>
          <w:u w:val="single"/>
        </w:rPr>
        <w:tab/>
      </w:r>
    </w:p>
    <w:p>
      <w:pPr>
        <w:spacing w:line="360" w:lineRule="auto"/>
        <w:rPr>
          <w:rFonts w:ascii="宋体" w:hAnsi="宋体"/>
          <w:sz w:val="24"/>
        </w:rPr>
      </w:pPr>
      <w:r>
        <w:rPr>
          <w:rFonts w:ascii="宋体" w:hAnsi="宋体"/>
          <w:bCs/>
          <w:sz w:val="24"/>
        </w:rPr>
        <w:t>公司地址：</w:t>
      </w:r>
      <w:r>
        <w:rPr>
          <w:rFonts w:hint="eastAsia" w:ascii="宋体" w:hAnsi="宋体"/>
          <w:bCs/>
          <w:sz w:val="24"/>
          <w:u w:val="single"/>
        </w:rPr>
        <w:t xml:space="preserve">  </w:t>
      </w:r>
      <w:r>
        <w:rPr>
          <w:rFonts w:ascii="宋体" w:hAnsi="宋体"/>
          <w:bCs/>
          <w:sz w:val="24"/>
          <w:u w:val="single"/>
        </w:rPr>
        <w:t>南通市崇川路</w:t>
      </w:r>
      <w:r>
        <w:rPr>
          <w:rFonts w:hint="eastAsia" w:ascii="宋体" w:hAnsi="宋体"/>
          <w:bCs/>
          <w:sz w:val="24"/>
          <w:u w:val="single"/>
        </w:rPr>
        <w:t xml:space="preserve">777号 </w:t>
      </w:r>
      <w:r>
        <w:rPr>
          <w:rFonts w:hint="eastAsia" w:ascii="宋体" w:hAnsi="宋体"/>
          <w:sz w:val="24"/>
          <w:u w:val="single"/>
        </w:rPr>
        <w:t xml:space="preserve"> </w:t>
      </w:r>
    </w:p>
    <w:p>
      <w:pPr>
        <w:tabs>
          <w:tab w:val="left" w:pos="1670"/>
        </w:tabs>
        <w:spacing w:line="360" w:lineRule="auto"/>
        <w:ind w:left="1433" w:hanging="1432" w:hangingChars="597"/>
        <w:rPr>
          <w:rFonts w:ascii="宋体" w:hAnsi="宋体"/>
          <w:b/>
          <w:i/>
          <w:sz w:val="24"/>
        </w:rPr>
      </w:pPr>
      <w:r>
        <w:rPr>
          <w:rFonts w:ascii="宋体" w:hAnsi="宋体"/>
          <w:bCs/>
          <w:sz w:val="24"/>
        </w:rPr>
        <w:t>乙方：</w:t>
      </w:r>
      <w:r>
        <w:rPr>
          <w:rFonts w:ascii="宋体" w:hAnsi="宋体"/>
          <w:bCs/>
          <w:sz w:val="24"/>
          <w:u w:val="single"/>
        </w:rPr>
        <w:tab/>
      </w:r>
      <w:r>
        <w:rPr>
          <w:rFonts w:hint="eastAsia" w:ascii="宋体" w:hAnsi="宋体"/>
          <w:bCs/>
          <w:sz w:val="24"/>
          <w:u w:val="single"/>
        </w:rPr>
        <w:t xml:space="preserve">                    </w:t>
      </w:r>
    </w:p>
    <w:p>
      <w:pPr>
        <w:spacing w:line="360" w:lineRule="auto"/>
        <w:ind w:left="1433" w:hanging="1432" w:hangingChars="597"/>
        <w:rPr>
          <w:rFonts w:ascii="宋体" w:hAnsi="宋体"/>
          <w:sz w:val="24"/>
        </w:rPr>
      </w:pPr>
      <w:r>
        <w:rPr>
          <w:rFonts w:ascii="宋体" w:hAnsi="宋体"/>
          <w:sz w:val="24"/>
        </w:rPr>
        <w:t>注册地址：</w:t>
      </w:r>
      <w:r>
        <w:rPr>
          <w:rFonts w:ascii="宋体" w:hAnsi="宋体"/>
          <w:sz w:val="24"/>
          <w:u w:val="single"/>
        </w:rPr>
        <w:tab/>
      </w:r>
      <w:r>
        <w:rPr>
          <w:rFonts w:hint="eastAsia" w:ascii="宋体" w:hAnsi="宋体"/>
          <w:sz w:val="24"/>
          <w:u w:val="single"/>
        </w:rPr>
        <w:t xml:space="preserve">                     </w:t>
      </w:r>
      <w:r>
        <w:rPr>
          <w:rFonts w:ascii="宋体" w:hAnsi="宋体"/>
          <w:sz w:val="24"/>
        </w:rPr>
        <w:tab/>
      </w:r>
    </w:p>
    <w:p>
      <w:pPr>
        <w:widowControl/>
        <w:adjustRightInd w:val="0"/>
        <w:snapToGrid w:val="0"/>
        <w:spacing w:beforeLines="50" w:afterLines="50" w:line="52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甲乙双方根据《中华人民共和国合同法》、《中华人民共和国消防法》、《江苏省消防条例》等规定，结合具体情况，经协商达成如下协议，共同遵守：</w:t>
      </w:r>
    </w:p>
    <w:p>
      <w:pPr>
        <w:widowControl/>
        <w:adjustRightInd w:val="0"/>
        <w:snapToGrid w:val="0"/>
        <w:spacing w:line="480" w:lineRule="exact"/>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一、维护保养覆盖范围：</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东区：交易大棚6座，交易大厅7座，服务楼1-5号，商业综合楼，展销商务楼，消防泵房，消防控制室，粮油综合大厅及地下停车场，1#收费站，110KV变电所等。</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西区：1#2#冷库，水产交易区，1#2#冻品交易大厅，肉类交易大厅，2#收费站，10KV配电所等。</w:t>
      </w:r>
    </w:p>
    <w:p>
      <w:pPr>
        <w:widowControl/>
        <w:adjustRightInd w:val="0"/>
        <w:snapToGrid w:val="0"/>
        <w:spacing w:line="480" w:lineRule="exact"/>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二、消防维护保养范围：</w:t>
      </w:r>
    </w:p>
    <w:p>
      <w:pPr>
        <w:spacing w:line="480" w:lineRule="exact"/>
        <w:ind w:firstLine="480" w:firstLineChars="200"/>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1、火灾自动报警系统；2、室内外消火栓系统；3、消防喷淋系统；4、消防炮系统；5、气体灭火系统；6、防排烟系统；7、消防广播、消防对讲系统；8、应急照明及疏散指示系统；9、电气火灾监控系统；10、防火分隔设施；11、消防供配电设施；12、消防供水设施。</w:t>
      </w:r>
    </w:p>
    <w:p>
      <w:pPr>
        <w:widowControl/>
        <w:adjustRightInd w:val="0"/>
        <w:snapToGrid w:val="0"/>
        <w:spacing w:line="480" w:lineRule="exact"/>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三、维修保养合同期限：</w:t>
      </w:r>
    </w:p>
    <w:p>
      <w:pPr>
        <w:spacing w:line="480" w:lineRule="exact"/>
        <w:ind w:firstLine="480" w:firstLineChars="200"/>
        <w:rPr>
          <w:rFonts w:ascii="宋体" w:hAnsi="宋体" w:cs="Arial"/>
          <w:kern w:val="0"/>
          <w:sz w:val="24"/>
          <w:szCs w:val="24"/>
        </w:rPr>
      </w:pPr>
      <w:r>
        <w:rPr>
          <w:rFonts w:hint="eastAsia" w:ascii="宋体" w:hAnsi="宋体" w:cs="Arial"/>
          <w:kern w:val="0"/>
          <w:sz w:val="24"/>
          <w:szCs w:val="24"/>
        </w:rPr>
        <w:t>三年。维保服务合同一年一签，维保服务当年期满通过年度评定的，按中标维保价格续签下一年维保服务期。年度评定不通过的，甲方有权立即终止合同，另行招标。</w:t>
      </w:r>
    </w:p>
    <w:p>
      <w:pPr>
        <w:widowControl/>
        <w:adjustRightInd w:val="0"/>
        <w:snapToGrid w:val="0"/>
        <w:spacing w:line="480" w:lineRule="exact"/>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四、甲方的权利、义务：</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1、 有权核查乙方维修保养机构资质证书和现场维修保养人员执业资格证书。</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2、甲方进行消防系统交底，提供完善的消防设备资料、原理图纸、档案。</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3、指派专人协助乙方工作，并提供必要的工作支持，如值班场所、水电使用等。</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4、掌握建筑消防设施的使用、操作规程，发现消防设施存在的问题和故障并及时通知乙方修复。</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5、根据需要及时组织更换建筑消防设施配件，承担建筑消防设施换件费用。</w:t>
      </w:r>
    </w:p>
    <w:p>
      <w:pPr>
        <w:widowControl/>
        <w:adjustRightInd w:val="0"/>
        <w:snapToGrid w:val="0"/>
        <w:spacing w:line="480" w:lineRule="exact"/>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五、乙方的权利、义务：</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1、具备消防设施维修保养的相应资质、资格，依照法律法规、技术标准和执业准则，开展建筑消防设施维护保养技术服务活动，对维护保养质量负责。</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2、根据甲方维修保养的具体情况，拟定切合甲方实际的维修保养方案，明确项目负责人（</w:t>
      </w:r>
      <w:r>
        <w:rPr>
          <w:rFonts w:hint="eastAsia" w:asciiTheme="majorEastAsia" w:hAnsiTheme="majorEastAsia" w:eastAsiaTheme="majorEastAsia"/>
          <w:kern w:val="0"/>
          <w:sz w:val="24"/>
          <w:szCs w:val="24"/>
          <w:u w:val="single"/>
        </w:rPr>
        <w:t xml:space="preserve"> 姓名：      联系电话：      </w:t>
      </w:r>
      <w:r>
        <w:rPr>
          <w:rFonts w:hint="eastAsia" w:asciiTheme="majorEastAsia" w:hAnsiTheme="majorEastAsia" w:eastAsiaTheme="majorEastAsia"/>
          <w:kern w:val="0"/>
          <w:sz w:val="24"/>
          <w:szCs w:val="24"/>
        </w:rPr>
        <w:t>），指定维保人员负责实施（</w:t>
      </w:r>
      <w:r>
        <w:rPr>
          <w:rFonts w:hint="eastAsia" w:asciiTheme="majorEastAsia" w:hAnsiTheme="majorEastAsia" w:eastAsiaTheme="majorEastAsia"/>
          <w:kern w:val="0"/>
          <w:sz w:val="24"/>
          <w:szCs w:val="24"/>
          <w:u w:val="single"/>
        </w:rPr>
        <w:t xml:space="preserve">姓名：      联系电话：         ；姓名：      联系电话：         ；姓名：      联系电话：         ；姓名：      联系电话：         </w:t>
      </w:r>
      <w:r>
        <w:rPr>
          <w:rFonts w:hint="eastAsia" w:asciiTheme="majorEastAsia" w:hAnsiTheme="majorEastAsia" w:eastAsiaTheme="majorEastAsia"/>
          <w:kern w:val="0"/>
          <w:sz w:val="24"/>
          <w:szCs w:val="24"/>
        </w:rPr>
        <w:t>）。维保人员维修保养时应当认真如实填写维修保养记录，落实不少于2名执业人员参与甲方消控室值班，应对消防应急突发事件。</w:t>
      </w:r>
    </w:p>
    <w:p>
      <w:pPr>
        <w:widowControl/>
        <w:adjustRightInd w:val="0"/>
        <w:snapToGrid w:val="0"/>
        <w:spacing w:line="480" w:lineRule="exact"/>
        <w:ind w:firstLine="480" w:firstLineChars="200"/>
        <w:jc w:val="left"/>
        <w:rPr>
          <w:rFonts w:ascii="宋体" w:hAnsi="宋体" w:cs="宋体"/>
          <w:sz w:val="24"/>
          <w:szCs w:val="24"/>
          <w:lang w:val="zh-CN"/>
        </w:rPr>
      </w:pPr>
      <w:r>
        <w:rPr>
          <w:rFonts w:hint="eastAsia" w:asciiTheme="majorEastAsia" w:hAnsiTheme="majorEastAsia" w:eastAsiaTheme="majorEastAsia"/>
          <w:kern w:val="0"/>
          <w:sz w:val="24"/>
          <w:szCs w:val="24"/>
        </w:rPr>
        <w:t>3、（1）消防控制室需保证达到24小时双人的值班值守要求，搭配值班的两人，其中必须有一人持有</w:t>
      </w:r>
      <w:r>
        <w:rPr>
          <w:rFonts w:hint="eastAsia" w:ascii="宋体" w:hAnsi="宋体" w:cs="宋体"/>
          <w:sz w:val="24"/>
          <w:szCs w:val="24"/>
          <w:lang w:val="zh-CN"/>
        </w:rPr>
        <w:t>建（构）筑物消防员证书或消防设施操作员中级及以上证书；</w:t>
      </w:r>
    </w:p>
    <w:p>
      <w:pPr>
        <w:widowControl/>
        <w:adjustRightInd w:val="0"/>
        <w:snapToGrid w:val="0"/>
        <w:spacing w:line="480" w:lineRule="exact"/>
        <w:ind w:firstLine="480" w:firstLineChars="200"/>
        <w:jc w:val="left"/>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2</w:t>
      </w:r>
      <w:r>
        <w:rPr>
          <w:rFonts w:hint="eastAsia" w:ascii="宋体" w:hAnsi="宋体" w:cs="宋体"/>
          <w:sz w:val="24"/>
          <w:szCs w:val="24"/>
          <w:lang w:val="zh-CN"/>
        </w:rPr>
        <w:t>）消防维保人员必须驻场服务；</w:t>
      </w:r>
    </w:p>
    <w:p>
      <w:pPr>
        <w:widowControl/>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rPr>
        <w:t>（3）所有人员双休日及法定节假日不休息。</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4、按照《建筑消防设施的维护管理》（GB25201）等消防技术标准规定的内容、程序、周期等要求，对合同约定范围内的建筑消防设施开展检查、维护、保养、测试等技术服务。</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5、每年对承担维修保养的建筑消防设施必须进行1次全面检查测试，委托第三方消防年检。</w:t>
      </w:r>
    </w:p>
    <w:p>
      <w:pPr>
        <w:widowControl/>
        <w:adjustRightInd w:val="0"/>
        <w:snapToGrid w:val="0"/>
        <w:spacing w:line="480" w:lineRule="exact"/>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六、 维修及维保要求</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1、按照甲方要求对整个消防系统设施进行检查维修，对系统存在的缺陷进行修复完善，满足现有建筑使用功能要求，并得到甲方认可，维修材料由甲方负责提供（300元以内的维修材料由乙方免费提供）。</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A、每栋单体建筑消火栓按钮启动消防水泵。</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B、有喷淋的单体建筑报警阀压力开关启动喷淋水泵。</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C、消防报警系统报警联动功能、自动消防炮灭火系统符合使用及规范要求。</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D、应急疏散照明外管、照度及放电时间符合新规范要求。</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E、室外消防供水管网检查漏点修复。</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F、室外消防控制电缆检查或更换或增加。</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G、防排烟设施检查维修、防火门及防火卷帘检查维修符合防火分隔要求。</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2、在维保作业期间，乙方每天对项目内容进行检查、维修、保养、测试必须有过程文字记录，每月月底整理双方签字盖章归档。由于维护不当给甲方造成经济损失，乙方负有赔偿责任。</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3、乙方在维保过程中所派驻的维保技术负责人员相对固定，在一个考核期内，无特殊情况不得频繁更换，如更换必须得到甲方认可。</w:t>
      </w:r>
    </w:p>
    <w:p>
      <w:pPr>
        <w:widowControl/>
        <w:adjustRightInd w:val="0"/>
        <w:snapToGrid w:val="0"/>
        <w:spacing w:line="480" w:lineRule="exact"/>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七、维保费用及支付方式、期限：</w:t>
      </w:r>
    </w:p>
    <w:p>
      <w:pPr>
        <w:spacing w:line="480" w:lineRule="exact"/>
        <w:ind w:firstLine="480" w:firstLineChars="200"/>
        <w:rPr>
          <w:rFonts w:asciiTheme="majorEastAsia" w:hAnsiTheme="majorEastAsia" w:eastAsiaTheme="majorEastAsia" w:cstheme="minorBidi"/>
          <w:sz w:val="24"/>
          <w:szCs w:val="24"/>
        </w:rPr>
      </w:pPr>
      <w:r>
        <w:rPr>
          <w:rFonts w:hint="eastAsia" w:asciiTheme="majorEastAsia" w:hAnsiTheme="majorEastAsia" w:eastAsiaTheme="majorEastAsia"/>
          <w:kern w:val="0"/>
          <w:sz w:val="24"/>
          <w:szCs w:val="24"/>
        </w:rPr>
        <w:t>1、合同总价人名币</w:t>
      </w:r>
      <w:r>
        <w:rPr>
          <w:rFonts w:hint="eastAsia" w:asciiTheme="majorEastAsia" w:hAnsiTheme="majorEastAsia" w:eastAsiaTheme="majorEastAsia"/>
          <w:kern w:val="0"/>
          <w:sz w:val="24"/>
          <w:szCs w:val="24"/>
          <w:u w:val="single"/>
        </w:rPr>
        <w:t xml:space="preserve">    </w:t>
      </w:r>
      <w:r>
        <w:rPr>
          <w:rFonts w:hint="eastAsia" w:asciiTheme="majorEastAsia" w:hAnsiTheme="majorEastAsia" w:eastAsiaTheme="majorEastAsia"/>
          <w:kern w:val="0"/>
          <w:sz w:val="24"/>
          <w:szCs w:val="24"/>
        </w:rPr>
        <w:t>万元</w:t>
      </w:r>
      <w:r>
        <w:rPr>
          <w:rFonts w:hint="eastAsia" w:cs="仿宋_GB2312" w:asciiTheme="majorEastAsia" w:hAnsiTheme="majorEastAsia" w:eastAsiaTheme="majorEastAsia"/>
          <w:kern w:val="0"/>
          <w:sz w:val="24"/>
          <w:szCs w:val="24"/>
        </w:rPr>
        <w:t>；</w:t>
      </w:r>
      <w:r>
        <w:rPr>
          <w:rFonts w:hint="eastAsia" w:asciiTheme="majorEastAsia" w:hAnsiTheme="majorEastAsia" w:eastAsiaTheme="majorEastAsia"/>
          <w:kern w:val="0"/>
          <w:sz w:val="24"/>
          <w:szCs w:val="24"/>
        </w:rPr>
        <w:t>每季度结算一次。每个结算期满后10日内由乙方提供等额服务费增值税发票、并经甲方审核后付款。</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2、维修项目中维修材料价格除按乙方报价结算外，甲方有权通过询价等方式确定成本加合理利润结算给乙方。</w:t>
      </w:r>
    </w:p>
    <w:p>
      <w:pPr>
        <w:widowControl/>
        <w:adjustRightInd w:val="0"/>
        <w:snapToGrid w:val="0"/>
        <w:spacing w:line="480" w:lineRule="exact"/>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八、违约责任：</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1、乙方未按规定落实值班和管理措施，导致未发现设施问题，或发现问题未及时修复，擅自违规操作造成故障的，应当承担相应责任。</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2、甲方不按时无故支付维保费用，乙方有权解除合同。</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3、乙方不按规定和本合同约定履行职责、义务，造成甲方损失的，应当承担赔偿责任。</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4、乙方在维修保养、检查测试中弄虚作假或严重不负责任的，甲方有权解除维修保养合同。</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5、乙方违反甲方有关管理规定，甲方有权扣罚维保费用。</w:t>
      </w:r>
    </w:p>
    <w:p>
      <w:pPr>
        <w:spacing w:line="360" w:lineRule="auto"/>
        <w:rPr>
          <w:rFonts w:ascii="宋体" w:hAnsi="宋体"/>
          <w:bCs/>
          <w:color w:val="000000"/>
          <w:sz w:val="24"/>
          <w:szCs w:val="24"/>
        </w:rPr>
      </w:pPr>
      <w:r>
        <w:rPr>
          <w:rFonts w:hint="eastAsia" w:ascii="宋体" w:hAnsi="宋体"/>
          <w:bCs/>
          <w:color w:val="000000"/>
          <w:sz w:val="24"/>
          <w:szCs w:val="24"/>
        </w:rPr>
        <w:t>九、其他约定：</w:t>
      </w:r>
    </w:p>
    <w:p>
      <w:pPr>
        <w:spacing w:line="360" w:lineRule="auto"/>
        <w:ind w:firstLine="480" w:firstLineChars="200"/>
        <w:rPr>
          <w:rFonts w:ascii="宋体" w:hAnsi="宋体" w:cs="宋体"/>
          <w:bCs/>
          <w:sz w:val="24"/>
          <w:szCs w:val="24"/>
        </w:rPr>
      </w:pPr>
      <w:r>
        <w:rPr>
          <w:rFonts w:hint="eastAsia" w:ascii="宋体" w:hAnsi="宋体"/>
          <w:bCs/>
          <w:color w:val="000000"/>
          <w:sz w:val="24"/>
          <w:szCs w:val="24"/>
        </w:rPr>
        <w:t>（一）</w:t>
      </w:r>
      <w:r>
        <w:rPr>
          <w:rFonts w:hint="eastAsia" w:ascii="宋体" w:hAnsi="宋体" w:cs="宋体"/>
          <w:bCs/>
          <w:sz w:val="24"/>
          <w:szCs w:val="24"/>
        </w:rPr>
        <w:t>招标文件、乙方投标文件及其他附件皆为本合同重要组成部分与本合同具有同等法律效力。</w:t>
      </w:r>
    </w:p>
    <w:p>
      <w:pPr>
        <w:spacing w:line="360" w:lineRule="auto"/>
        <w:ind w:firstLine="480" w:firstLineChars="200"/>
        <w:rPr>
          <w:rFonts w:asciiTheme="majorEastAsia" w:hAnsiTheme="majorEastAsia" w:eastAsiaTheme="majorEastAsia"/>
          <w:kern w:val="0"/>
          <w:sz w:val="24"/>
          <w:szCs w:val="24"/>
        </w:rPr>
      </w:pPr>
      <w:r>
        <w:rPr>
          <w:rFonts w:hint="eastAsia" w:ascii="宋体" w:hAnsi="宋体"/>
          <w:color w:val="000000"/>
          <w:sz w:val="24"/>
          <w:szCs w:val="24"/>
        </w:rPr>
        <w:t>（二）本合同约定以外的增值服务，双方应当以书面形式另行约定。</w:t>
      </w:r>
    </w:p>
    <w:p>
      <w:pPr>
        <w:widowControl/>
        <w:adjustRightInd w:val="0"/>
        <w:snapToGrid w:val="0"/>
        <w:spacing w:line="480" w:lineRule="exact"/>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十、解决合同纠纷的方式：本合同履行过程中发生争议，双方应协商解决，协商不成时，采用下列方式方式解决：</w:t>
      </w:r>
    </w:p>
    <w:p>
      <w:pPr>
        <w:widowControl/>
        <w:adjustRightInd w:val="0"/>
        <w:snapToGrid w:val="0"/>
        <w:spacing w:line="480" w:lineRule="exact"/>
        <w:ind w:firstLine="480" w:firstLineChars="200"/>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向南通市崇川区人民法院起诉。</w:t>
      </w:r>
    </w:p>
    <w:p>
      <w:pPr>
        <w:widowControl/>
        <w:adjustRightInd w:val="0"/>
        <w:snapToGrid w:val="0"/>
        <w:spacing w:line="480" w:lineRule="exact"/>
        <w:jc w:val="left"/>
        <w:rPr>
          <w:rFonts w:asciiTheme="majorEastAsia" w:hAnsiTheme="majorEastAsia" w:eastAsiaTheme="majorEastAsia"/>
          <w:kern w:val="0"/>
          <w:sz w:val="24"/>
          <w:szCs w:val="24"/>
        </w:rPr>
      </w:pPr>
      <w:r>
        <w:rPr>
          <w:rFonts w:hint="eastAsia" w:asciiTheme="majorEastAsia" w:hAnsiTheme="majorEastAsia" w:eastAsiaTheme="majorEastAsia"/>
          <w:kern w:val="0"/>
          <w:sz w:val="24"/>
          <w:szCs w:val="24"/>
        </w:rPr>
        <w:t>十一、合同份数：本合同一式</w:t>
      </w:r>
      <w:r>
        <w:rPr>
          <w:rFonts w:hint="eastAsia" w:asciiTheme="majorEastAsia" w:hAnsiTheme="majorEastAsia" w:eastAsiaTheme="majorEastAsia"/>
          <w:kern w:val="0"/>
          <w:sz w:val="24"/>
          <w:szCs w:val="24"/>
          <w:u w:val="single"/>
        </w:rPr>
        <w:t xml:space="preserve"> </w:t>
      </w:r>
      <w:r>
        <w:rPr>
          <w:rFonts w:hint="eastAsia" w:asciiTheme="majorEastAsia" w:hAnsiTheme="majorEastAsia" w:eastAsiaTheme="majorEastAsia"/>
          <w:b/>
          <w:bCs/>
          <w:kern w:val="0"/>
          <w:sz w:val="24"/>
          <w:szCs w:val="24"/>
          <w:u w:val="single"/>
        </w:rPr>
        <w:t xml:space="preserve">肆 </w:t>
      </w:r>
      <w:r>
        <w:rPr>
          <w:rFonts w:hint="eastAsia" w:asciiTheme="majorEastAsia" w:hAnsiTheme="majorEastAsia" w:eastAsiaTheme="majorEastAsia"/>
          <w:kern w:val="0"/>
          <w:sz w:val="24"/>
          <w:szCs w:val="24"/>
        </w:rPr>
        <w:t>份，甲、乙双方各执</w:t>
      </w:r>
      <w:r>
        <w:rPr>
          <w:rFonts w:hint="eastAsia" w:asciiTheme="majorEastAsia" w:hAnsiTheme="majorEastAsia" w:eastAsiaTheme="majorEastAsia"/>
          <w:kern w:val="0"/>
          <w:sz w:val="24"/>
          <w:szCs w:val="24"/>
          <w:u w:val="single"/>
        </w:rPr>
        <w:t xml:space="preserve"> </w:t>
      </w:r>
      <w:r>
        <w:rPr>
          <w:rFonts w:hint="eastAsia" w:asciiTheme="majorEastAsia" w:hAnsiTheme="majorEastAsia" w:eastAsiaTheme="majorEastAsia"/>
          <w:b/>
          <w:bCs/>
          <w:kern w:val="0"/>
          <w:sz w:val="24"/>
          <w:szCs w:val="24"/>
          <w:u w:val="single"/>
        </w:rPr>
        <w:t xml:space="preserve">贰 </w:t>
      </w:r>
      <w:r>
        <w:rPr>
          <w:rFonts w:hint="eastAsia" w:asciiTheme="majorEastAsia" w:hAnsiTheme="majorEastAsia" w:eastAsiaTheme="majorEastAsia"/>
          <w:kern w:val="0"/>
          <w:sz w:val="24"/>
          <w:szCs w:val="24"/>
        </w:rPr>
        <w:t>份。</w:t>
      </w:r>
    </w:p>
    <w:p>
      <w:pPr>
        <w:spacing w:line="520" w:lineRule="exact"/>
        <w:rPr>
          <w:rFonts w:ascii="宋体" w:hAnsi="宋体"/>
          <w:b/>
          <w:color w:val="000000"/>
          <w:sz w:val="24"/>
          <w:szCs w:val="24"/>
        </w:rPr>
      </w:pPr>
    </w:p>
    <w:p>
      <w:pPr>
        <w:spacing w:line="520" w:lineRule="exact"/>
        <w:rPr>
          <w:rFonts w:ascii="宋体" w:hAnsi="宋体"/>
          <w:b/>
          <w:color w:val="000000"/>
          <w:sz w:val="24"/>
          <w:szCs w:val="24"/>
        </w:rPr>
      </w:pPr>
      <w:r>
        <w:rPr>
          <w:rFonts w:hint="eastAsia" w:ascii="宋体" w:hAnsi="宋体"/>
          <w:b/>
          <w:color w:val="000000"/>
          <w:sz w:val="24"/>
          <w:szCs w:val="24"/>
        </w:rPr>
        <w:t xml:space="preserve">甲方：（签章）                            </w:t>
      </w:r>
      <w:r>
        <w:rPr>
          <w:rFonts w:hint="eastAsia" w:ascii="宋体" w:hAnsi="宋体" w:cs="宋体"/>
          <w:b/>
          <w:bCs/>
          <w:color w:val="000000"/>
          <w:kern w:val="0"/>
          <w:sz w:val="24"/>
          <w:szCs w:val="24"/>
        </w:rPr>
        <w:t>乙方：</w:t>
      </w:r>
    </w:p>
    <w:p>
      <w:pPr>
        <w:spacing w:line="520" w:lineRule="exact"/>
        <w:rPr>
          <w:rFonts w:ascii="宋体" w:hAnsi="宋体" w:cs="宋体"/>
          <w:b/>
          <w:bCs/>
          <w:color w:val="000000"/>
          <w:kern w:val="0"/>
          <w:sz w:val="24"/>
          <w:szCs w:val="24"/>
        </w:rPr>
      </w:pPr>
      <w:r>
        <w:rPr>
          <w:rFonts w:hint="eastAsia" w:ascii="宋体" w:hAnsi="宋体"/>
          <w:b/>
          <w:sz w:val="24"/>
          <w:szCs w:val="24"/>
        </w:rPr>
        <w:t xml:space="preserve">南通农副产品物流有限公司 </w:t>
      </w:r>
      <w:r>
        <w:rPr>
          <w:rFonts w:hint="eastAsia" w:ascii="宋体" w:hAnsi="宋体"/>
          <w:color w:val="000000"/>
          <w:kern w:val="0"/>
          <w:sz w:val="24"/>
          <w:szCs w:val="24"/>
        </w:rPr>
        <w:t xml:space="preserve">                 </w:t>
      </w:r>
    </w:p>
    <w:p>
      <w:pPr>
        <w:spacing w:line="520" w:lineRule="exact"/>
        <w:rPr>
          <w:rFonts w:ascii="宋体" w:hAnsi="宋体"/>
          <w:color w:val="000000"/>
          <w:sz w:val="24"/>
          <w:szCs w:val="24"/>
        </w:rPr>
      </w:pPr>
      <w:r>
        <w:rPr>
          <w:rFonts w:hint="eastAsia" w:ascii="宋体" w:hAnsi="宋体" w:cs="宋体"/>
          <w:color w:val="000000"/>
          <w:kern w:val="0"/>
          <w:sz w:val="24"/>
          <w:szCs w:val="24"/>
        </w:rPr>
        <w:t>单位负责人：                              营业执照号码：</w:t>
      </w:r>
    </w:p>
    <w:p>
      <w:pPr>
        <w:spacing w:line="520" w:lineRule="exact"/>
        <w:rPr>
          <w:rFonts w:ascii="宋体" w:hAnsi="宋体"/>
          <w:color w:val="000000"/>
          <w:sz w:val="24"/>
          <w:szCs w:val="24"/>
        </w:rPr>
      </w:pPr>
      <w:r>
        <w:rPr>
          <w:rFonts w:hint="eastAsia" w:ascii="宋体" w:hAnsi="宋体" w:cs="宋体"/>
          <w:color w:val="000000"/>
          <w:kern w:val="0"/>
          <w:sz w:val="24"/>
          <w:szCs w:val="24"/>
        </w:rPr>
        <w:t>联系电话：</w:t>
      </w:r>
      <w:r>
        <w:rPr>
          <w:rFonts w:hint="eastAsia" w:ascii="宋体" w:hAnsi="宋体"/>
          <w:color w:val="000000"/>
          <w:sz w:val="24"/>
          <w:szCs w:val="24"/>
        </w:rPr>
        <w:t xml:space="preserve">                                </w:t>
      </w:r>
      <w:r>
        <w:rPr>
          <w:rFonts w:hint="eastAsia" w:ascii="宋体" w:hAnsi="宋体" w:cs="宋体"/>
          <w:color w:val="000000"/>
          <w:kern w:val="0"/>
          <w:sz w:val="24"/>
          <w:szCs w:val="24"/>
        </w:rPr>
        <w:t xml:space="preserve">许可证号码：                                         </w:t>
      </w:r>
    </w:p>
    <w:p>
      <w:pPr>
        <w:spacing w:line="520" w:lineRule="exact"/>
        <w:rPr>
          <w:rFonts w:ascii="宋体" w:hAnsi="宋体"/>
          <w:color w:val="000000"/>
          <w:sz w:val="24"/>
          <w:szCs w:val="24"/>
        </w:rPr>
      </w:pPr>
      <w:r>
        <w:rPr>
          <w:rFonts w:hint="eastAsia" w:ascii="宋体" w:hAnsi="宋体"/>
          <w:color w:val="000000"/>
          <w:sz w:val="24"/>
          <w:szCs w:val="24"/>
        </w:rPr>
        <w:t xml:space="preserve">                                          </w:t>
      </w:r>
      <w:r>
        <w:rPr>
          <w:rFonts w:hint="eastAsia" w:ascii="宋体" w:hAnsi="宋体" w:cs="宋体"/>
          <w:color w:val="000000"/>
          <w:kern w:val="0"/>
          <w:sz w:val="24"/>
          <w:szCs w:val="24"/>
        </w:rPr>
        <w:t>法定代表人：</w:t>
      </w:r>
      <w:r>
        <w:rPr>
          <w:rFonts w:hint="eastAsia" w:ascii="宋体" w:hAnsi="宋体"/>
          <w:color w:val="000000"/>
          <w:sz w:val="24"/>
          <w:szCs w:val="24"/>
        </w:rPr>
        <w:t xml:space="preserve">                                          </w:t>
      </w:r>
    </w:p>
    <w:p>
      <w:pPr>
        <w:spacing w:line="520" w:lineRule="exact"/>
        <w:rPr>
          <w:rFonts w:ascii="宋体" w:hAnsi="宋体" w:cs="宋体"/>
          <w:color w:val="000000"/>
          <w:kern w:val="0"/>
          <w:sz w:val="24"/>
          <w:szCs w:val="24"/>
        </w:rPr>
      </w:pPr>
      <w:r>
        <w:rPr>
          <w:rFonts w:hint="eastAsia" w:ascii="宋体" w:hAnsi="宋体" w:cs="宋体"/>
          <w:b/>
          <w:color w:val="000000"/>
          <w:kern w:val="0"/>
          <w:sz w:val="24"/>
          <w:szCs w:val="24"/>
        </w:rPr>
        <w:t xml:space="preserve">  </w:t>
      </w:r>
      <w:r>
        <w:rPr>
          <w:rFonts w:hint="eastAsia" w:ascii="宋体" w:hAnsi="宋体" w:cs="宋体"/>
          <w:color w:val="000000"/>
          <w:kern w:val="0"/>
          <w:sz w:val="24"/>
          <w:szCs w:val="24"/>
        </w:rPr>
        <w:t xml:space="preserve">                                        联系电话：</w:t>
      </w:r>
    </w:p>
    <w:p>
      <w:pPr>
        <w:spacing w:line="520" w:lineRule="exact"/>
        <w:rPr>
          <w:rFonts w:ascii="宋体" w:hAnsi="宋体" w:cs="宋体"/>
          <w:color w:val="000000"/>
          <w:kern w:val="0"/>
          <w:sz w:val="24"/>
          <w:szCs w:val="24"/>
        </w:rPr>
      </w:pPr>
      <w:r>
        <w:rPr>
          <w:rFonts w:hint="eastAsia" w:ascii="宋体" w:hAnsi="宋体" w:cs="宋体"/>
          <w:color w:val="000000"/>
          <w:kern w:val="0"/>
          <w:sz w:val="24"/>
          <w:szCs w:val="24"/>
        </w:rPr>
        <w:t xml:space="preserve">                                          传真电话：</w:t>
      </w:r>
    </w:p>
    <w:p>
      <w:pPr>
        <w:spacing w:line="520" w:lineRule="exact"/>
        <w:rPr>
          <w:rFonts w:ascii="宋体" w:hAnsi="宋体" w:cs="宋体"/>
          <w:color w:val="000000"/>
          <w:kern w:val="0"/>
          <w:sz w:val="24"/>
          <w:szCs w:val="24"/>
        </w:rPr>
      </w:pPr>
      <w:r>
        <w:rPr>
          <w:rFonts w:hint="eastAsia" w:ascii="宋体" w:hAnsi="宋体" w:cs="宋体"/>
          <w:color w:val="000000"/>
          <w:kern w:val="0"/>
          <w:sz w:val="24"/>
          <w:szCs w:val="24"/>
        </w:rPr>
        <w:t xml:space="preserve">                                          开户银行：</w:t>
      </w:r>
    </w:p>
    <w:p>
      <w:pPr>
        <w:spacing w:line="520" w:lineRule="exact"/>
        <w:rPr>
          <w:rFonts w:ascii="宋体" w:hAnsi="宋体" w:cs="宋体"/>
          <w:color w:val="000000"/>
          <w:kern w:val="0"/>
          <w:sz w:val="24"/>
          <w:szCs w:val="24"/>
        </w:rPr>
      </w:pPr>
      <w:r>
        <w:rPr>
          <w:rFonts w:hint="eastAsia" w:ascii="宋体" w:hAnsi="宋体" w:cs="宋体"/>
          <w:color w:val="000000"/>
          <w:kern w:val="0"/>
          <w:sz w:val="24"/>
          <w:szCs w:val="24"/>
        </w:rPr>
        <w:t xml:space="preserve">                                          帐号：</w:t>
      </w:r>
    </w:p>
    <w:p>
      <w:pPr>
        <w:tabs>
          <w:tab w:val="left" w:pos="1440"/>
        </w:tabs>
        <w:spacing w:line="360" w:lineRule="auto"/>
        <w:ind w:left="1433" w:hanging="1432" w:hangingChars="597"/>
        <w:rPr>
          <w:rFonts w:asciiTheme="majorEastAsia" w:hAnsiTheme="majorEastAsia" w:eastAsiaTheme="majorEastAsia"/>
          <w:sz w:val="24"/>
          <w:szCs w:val="24"/>
        </w:rPr>
      </w:pPr>
      <w:r>
        <w:rPr>
          <w:rFonts w:hint="eastAsia" w:ascii="宋体" w:hAnsi="宋体" w:cs="宋体"/>
          <w:color w:val="000000"/>
          <w:kern w:val="0"/>
          <w:sz w:val="24"/>
          <w:szCs w:val="24"/>
        </w:rPr>
        <w:t xml:space="preserve">     签约时间：      年     月    日</w:t>
      </w:r>
      <w:r>
        <w:rPr>
          <w:rFonts w:hint="eastAsia" w:ascii="宋体" w:hAnsi="宋体"/>
          <w:color w:val="000000"/>
          <w:sz w:val="24"/>
          <w:szCs w:val="24"/>
        </w:rPr>
        <w:t xml:space="preserve">        </w:t>
      </w:r>
    </w:p>
    <w:bookmarkEnd w:id="152"/>
    <w:bookmarkEnd w:id="153"/>
    <w:bookmarkEnd w:id="154"/>
    <w:bookmarkEnd w:id="155"/>
    <w:bookmarkEnd w:id="156"/>
    <w:bookmarkEnd w:id="157"/>
    <w:p>
      <w:pPr>
        <w:snapToGrid w:val="0"/>
        <w:spacing w:line="360" w:lineRule="auto"/>
        <w:jc w:val="center"/>
        <w:rPr>
          <w:rFonts w:ascii="宋体" w:hAnsi="宋体"/>
          <w:b/>
          <w:bCs/>
          <w:sz w:val="36"/>
          <w:szCs w:val="36"/>
        </w:rPr>
      </w:pPr>
      <w:bookmarkStart w:id="158" w:name="_Hlt16619350"/>
      <w:bookmarkStart w:id="159" w:name="_Toc20823346"/>
      <w:bookmarkStart w:id="160" w:name="_Toc120614244"/>
      <w:bookmarkStart w:id="161" w:name="_Toc479962292"/>
      <w:bookmarkStart w:id="162" w:name="_Toc16938590"/>
      <w:bookmarkStart w:id="163" w:name="_Toc479757211"/>
      <w:bookmarkStart w:id="164" w:name="_Toc462564139"/>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p>
    <w:p>
      <w:pPr>
        <w:snapToGrid w:val="0"/>
        <w:spacing w:line="360" w:lineRule="auto"/>
        <w:jc w:val="center"/>
        <w:rPr>
          <w:rFonts w:ascii="宋体" w:hAnsi="宋体"/>
          <w:b/>
          <w:bCs/>
          <w:sz w:val="36"/>
          <w:szCs w:val="36"/>
        </w:rPr>
      </w:pPr>
      <w:r>
        <w:rPr>
          <w:rFonts w:hint="eastAsia" w:ascii="宋体" w:hAnsi="宋体"/>
          <w:b/>
          <w:bCs/>
          <w:sz w:val="36"/>
          <w:szCs w:val="36"/>
        </w:rPr>
        <w:t>第四章  项目需求</w:t>
      </w:r>
    </w:p>
    <w:p>
      <w:pPr>
        <w:ind w:firstLine="640"/>
        <w:rPr>
          <w:rFonts w:cs="仿宋" w:asciiTheme="majorEastAsia" w:hAnsiTheme="majorEastAsia" w:eastAsiaTheme="majorEastAsia"/>
          <w:color w:val="000000"/>
          <w:sz w:val="30"/>
          <w:szCs w:val="30"/>
        </w:rPr>
      </w:pPr>
      <w:r>
        <w:rPr>
          <w:rFonts w:hint="eastAsia" w:cs="仿宋" w:asciiTheme="majorEastAsia" w:hAnsiTheme="majorEastAsia" w:eastAsiaTheme="majorEastAsia"/>
          <w:b/>
          <w:bCs/>
          <w:color w:val="000000"/>
          <w:sz w:val="30"/>
          <w:szCs w:val="30"/>
        </w:rPr>
        <w:t>一、项目概况</w:t>
      </w:r>
    </w:p>
    <w:p>
      <w:pPr>
        <w:spacing w:line="440" w:lineRule="exact"/>
        <w:ind w:firstLine="641"/>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项目地点：江苏省南通市崇川区崇川路777号</w:t>
      </w:r>
    </w:p>
    <w:p>
      <w:pPr>
        <w:numPr>
          <w:ilvl w:val="0"/>
          <w:numId w:val="3"/>
        </w:numPr>
        <w:ind w:firstLine="640"/>
        <w:rPr>
          <w:rFonts w:cs="仿宋" w:asciiTheme="majorEastAsia" w:hAnsiTheme="majorEastAsia" w:eastAsiaTheme="majorEastAsia"/>
          <w:b/>
          <w:bCs/>
          <w:color w:val="000000"/>
          <w:sz w:val="30"/>
          <w:szCs w:val="30"/>
        </w:rPr>
      </w:pPr>
      <w:r>
        <w:rPr>
          <w:rFonts w:hint="eastAsia" w:cs="仿宋" w:asciiTheme="majorEastAsia" w:hAnsiTheme="majorEastAsia" w:eastAsiaTheme="majorEastAsia"/>
          <w:b/>
          <w:bCs/>
          <w:color w:val="000000"/>
          <w:sz w:val="30"/>
          <w:szCs w:val="30"/>
        </w:rPr>
        <w:t>维保需求</w:t>
      </w:r>
    </w:p>
    <w:p>
      <w:pPr>
        <w:rPr>
          <w:rFonts w:cs="仿宋" w:asciiTheme="majorEastAsia" w:hAnsiTheme="majorEastAsia" w:eastAsiaTheme="majorEastAsia"/>
          <w:b/>
          <w:color w:val="000000"/>
          <w:sz w:val="24"/>
          <w:szCs w:val="24"/>
        </w:rPr>
      </w:pPr>
      <w:r>
        <w:rPr>
          <w:rFonts w:hint="eastAsia" w:cs="仿宋" w:asciiTheme="majorEastAsia" w:hAnsiTheme="majorEastAsia" w:eastAsiaTheme="majorEastAsia"/>
          <w:b/>
          <w:bCs/>
          <w:color w:val="000000"/>
          <w:sz w:val="30"/>
          <w:szCs w:val="30"/>
        </w:rPr>
        <w:t xml:space="preserve">   </w:t>
      </w:r>
      <w:r>
        <w:rPr>
          <w:rFonts w:hint="eastAsia" w:cs="仿宋" w:asciiTheme="majorEastAsia" w:hAnsiTheme="majorEastAsia" w:eastAsiaTheme="majorEastAsia"/>
          <w:b/>
          <w:color w:val="000000"/>
          <w:sz w:val="24"/>
          <w:szCs w:val="24"/>
        </w:rPr>
        <w:t>1、消防设施设备概况</w:t>
      </w:r>
    </w:p>
    <w:tbl>
      <w:tblPr>
        <w:tblStyle w:val="46"/>
        <w:tblW w:w="8353" w:type="dxa"/>
        <w:tblInd w:w="0" w:type="dxa"/>
        <w:tblLayout w:type="autofit"/>
        <w:tblCellMar>
          <w:top w:w="0" w:type="dxa"/>
          <w:left w:w="0" w:type="dxa"/>
          <w:bottom w:w="0" w:type="dxa"/>
          <w:right w:w="0" w:type="dxa"/>
        </w:tblCellMar>
      </w:tblPr>
      <w:tblGrid>
        <w:gridCol w:w="900"/>
        <w:gridCol w:w="3276"/>
        <w:gridCol w:w="37"/>
        <w:gridCol w:w="3060"/>
        <w:gridCol w:w="1080"/>
      </w:tblGrid>
      <w:tr>
        <w:tblPrEx>
          <w:tblCellMar>
            <w:top w:w="0" w:type="dxa"/>
            <w:left w:w="0" w:type="dxa"/>
            <w:bottom w:w="0" w:type="dxa"/>
            <w:right w:w="0" w:type="dxa"/>
          </w:tblCellMar>
        </w:tblPrEx>
        <w:trPr>
          <w:trHeight w:val="480" w:hRule="atLeast"/>
        </w:trPr>
        <w:tc>
          <w:tcPr>
            <w:tcW w:w="83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东区</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序号</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系统、设备名称</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品牌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数量</w:t>
            </w:r>
          </w:p>
        </w:tc>
      </w:tr>
      <w:tr>
        <w:tblPrEx>
          <w:tblCellMar>
            <w:top w:w="0" w:type="dxa"/>
            <w:left w:w="0" w:type="dxa"/>
            <w:bottom w:w="0" w:type="dxa"/>
            <w:right w:w="0" w:type="dxa"/>
          </w:tblCellMar>
        </w:tblPrEx>
        <w:trPr>
          <w:trHeight w:val="397"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w:t>
            </w:r>
          </w:p>
        </w:tc>
        <w:tc>
          <w:tcPr>
            <w:tcW w:w="331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烟感</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河马</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6716</w:t>
            </w:r>
          </w:p>
        </w:tc>
      </w:tr>
      <w:tr>
        <w:tblPrEx>
          <w:tblCellMar>
            <w:top w:w="0" w:type="dxa"/>
            <w:left w:w="0" w:type="dxa"/>
            <w:bottom w:w="0" w:type="dxa"/>
            <w:right w:w="0" w:type="dxa"/>
          </w:tblCellMar>
        </w:tblPrEx>
        <w:trPr>
          <w:trHeight w:val="397"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3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松江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1350</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消防炮</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合肥科大立安</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58</w:t>
            </w:r>
          </w:p>
        </w:tc>
      </w:tr>
      <w:tr>
        <w:tblPrEx>
          <w:tblCellMar>
            <w:top w:w="0" w:type="dxa"/>
            <w:left w:w="0" w:type="dxa"/>
            <w:bottom w:w="0" w:type="dxa"/>
            <w:right w:w="0" w:type="dxa"/>
          </w:tblCellMar>
        </w:tblPrEx>
        <w:trPr>
          <w:trHeight w:val="397"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3</w:t>
            </w:r>
          </w:p>
        </w:tc>
        <w:tc>
          <w:tcPr>
            <w:tcW w:w="331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消火栓箱</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860</w:t>
            </w:r>
          </w:p>
        </w:tc>
      </w:tr>
      <w:tr>
        <w:tblPrEx>
          <w:tblCellMar>
            <w:top w:w="0" w:type="dxa"/>
            <w:left w:w="0" w:type="dxa"/>
            <w:bottom w:w="0" w:type="dxa"/>
            <w:right w:w="0" w:type="dxa"/>
          </w:tblCellMar>
        </w:tblPrEx>
        <w:trPr>
          <w:trHeight w:val="397"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3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80</w:t>
            </w:r>
          </w:p>
        </w:tc>
      </w:tr>
      <w:tr>
        <w:tblPrEx>
          <w:tblCellMar>
            <w:top w:w="0" w:type="dxa"/>
            <w:left w:w="0" w:type="dxa"/>
            <w:bottom w:w="0" w:type="dxa"/>
            <w:right w:w="0" w:type="dxa"/>
          </w:tblCellMar>
        </w:tblPrEx>
        <w:trPr>
          <w:trHeight w:val="397"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4</w:t>
            </w:r>
          </w:p>
        </w:tc>
        <w:tc>
          <w:tcPr>
            <w:tcW w:w="331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湿式报警阀</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26</w:t>
            </w:r>
          </w:p>
        </w:tc>
      </w:tr>
      <w:tr>
        <w:tblPrEx>
          <w:tblCellMar>
            <w:top w:w="0" w:type="dxa"/>
            <w:left w:w="0" w:type="dxa"/>
            <w:bottom w:w="0" w:type="dxa"/>
            <w:right w:w="0" w:type="dxa"/>
          </w:tblCellMar>
        </w:tblPrEx>
        <w:trPr>
          <w:trHeight w:val="397"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3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4</w:t>
            </w:r>
          </w:p>
        </w:tc>
      </w:tr>
      <w:tr>
        <w:tblPrEx>
          <w:tblCellMar>
            <w:top w:w="0" w:type="dxa"/>
            <w:left w:w="0" w:type="dxa"/>
            <w:bottom w:w="0" w:type="dxa"/>
            <w:right w:w="0" w:type="dxa"/>
          </w:tblCellMar>
        </w:tblPrEx>
        <w:trPr>
          <w:trHeight w:val="397"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5</w:t>
            </w:r>
          </w:p>
        </w:tc>
        <w:tc>
          <w:tcPr>
            <w:tcW w:w="331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喷淋喷头</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21400</w:t>
            </w:r>
          </w:p>
        </w:tc>
      </w:tr>
      <w:tr>
        <w:tblPrEx>
          <w:tblCellMar>
            <w:top w:w="0" w:type="dxa"/>
            <w:left w:w="0" w:type="dxa"/>
            <w:bottom w:w="0" w:type="dxa"/>
            <w:right w:w="0" w:type="dxa"/>
          </w:tblCellMar>
        </w:tblPrEx>
        <w:trPr>
          <w:trHeight w:val="397"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3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1200</w:t>
            </w:r>
          </w:p>
        </w:tc>
      </w:tr>
      <w:tr>
        <w:tblPrEx>
          <w:tblCellMar>
            <w:top w:w="0" w:type="dxa"/>
            <w:left w:w="0" w:type="dxa"/>
            <w:bottom w:w="0" w:type="dxa"/>
            <w:right w:w="0" w:type="dxa"/>
          </w:tblCellMar>
        </w:tblPrEx>
        <w:trPr>
          <w:trHeight w:val="397"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6</w:t>
            </w:r>
          </w:p>
        </w:tc>
        <w:tc>
          <w:tcPr>
            <w:tcW w:w="331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声光报警器</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906</w:t>
            </w:r>
          </w:p>
        </w:tc>
      </w:tr>
      <w:tr>
        <w:tblPrEx>
          <w:tblCellMar>
            <w:top w:w="0" w:type="dxa"/>
            <w:left w:w="0" w:type="dxa"/>
            <w:bottom w:w="0" w:type="dxa"/>
            <w:right w:w="0" w:type="dxa"/>
          </w:tblCellMar>
        </w:tblPrEx>
        <w:trPr>
          <w:trHeight w:val="397"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3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80</w:t>
            </w:r>
          </w:p>
        </w:tc>
      </w:tr>
      <w:tr>
        <w:tblPrEx>
          <w:tblCellMar>
            <w:top w:w="0" w:type="dxa"/>
            <w:left w:w="0" w:type="dxa"/>
            <w:bottom w:w="0" w:type="dxa"/>
            <w:right w:w="0" w:type="dxa"/>
          </w:tblCellMar>
        </w:tblPrEx>
        <w:trPr>
          <w:trHeight w:val="397"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7</w:t>
            </w:r>
          </w:p>
        </w:tc>
        <w:tc>
          <w:tcPr>
            <w:tcW w:w="331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温感</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河马</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832</w:t>
            </w:r>
          </w:p>
        </w:tc>
      </w:tr>
      <w:tr>
        <w:tblPrEx>
          <w:tblCellMar>
            <w:top w:w="0" w:type="dxa"/>
            <w:left w:w="0" w:type="dxa"/>
            <w:bottom w:w="0" w:type="dxa"/>
            <w:right w:w="0" w:type="dxa"/>
          </w:tblCellMar>
        </w:tblPrEx>
        <w:trPr>
          <w:trHeight w:val="397"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3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松江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120</w:t>
            </w:r>
          </w:p>
        </w:tc>
      </w:tr>
      <w:tr>
        <w:tblPrEx>
          <w:tblCellMar>
            <w:top w:w="0" w:type="dxa"/>
            <w:left w:w="0" w:type="dxa"/>
            <w:bottom w:w="0" w:type="dxa"/>
            <w:right w:w="0" w:type="dxa"/>
          </w:tblCellMar>
        </w:tblPrEx>
        <w:trPr>
          <w:trHeight w:val="397"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8</w:t>
            </w:r>
          </w:p>
        </w:tc>
        <w:tc>
          <w:tcPr>
            <w:tcW w:w="331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手动报警</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河马</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906</w:t>
            </w:r>
          </w:p>
        </w:tc>
      </w:tr>
      <w:tr>
        <w:tblPrEx>
          <w:tblCellMar>
            <w:top w:w="0" w:type="dxa"/>
            <w:left w:w="0" w:type="dxa"/>
            <w:bottom w:w="0" w:type="dxa"/>
            <w:right w:w="0" w:type="dxa"/>
          </w:tblCellMar>
        </w:tblPrEx>
        <w:trPr>
          <w:trHeight w:val="397"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3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松江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80</w:t>
            </w:r>
          </w:p>
        </w:tc>
      </w:tr>
      <w:tr>
        <w:tblPrEx>
          <w:tblCellMar>
            <w:top w:w="0" w:type="dxa"/>
            <w:left w:w="0" w:type="dxa"/>
            <w:bottom w:w="0" w:type="dxa"/>
            <w:right w:w="0" w:type="dxa"/>
          </w:tblCellMar>
        </w:tblPrEx>
        <w:trPr>
          <w:trHeight w:val="397"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9</w:t>
            </w:r>
          </w:p>
        </w:tc>
        <w:tc>
          <w:tcPr>
            <w:tcW w:w="331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火灾显示盘</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河马</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42</w:t>
            </w:r>
          </w:p>
        </w:tc>
      </w:tr>
      <w:tr>
        <w:tblPrEx>
          <w:tblCellMar>
            <w:top w:w="0" w:type="dxa"/>
            <w:left w:w="0" w:type="dxa"/>
            <w:bottom w:w="0" w:type="dxa"/>
            <w:right w:w="0" w:type="dxa"/>
          </w:tblCellMar>
        </w:tblPrEx>
        <w:trPr>
          <w:trHeight w:val="397"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3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松江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10</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10</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双波段图像火灾探测器</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合肥科大立安</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48</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11</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消防炮现场控制盘</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合肥科大立安</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58</w:t>
            </w:r>
          </w:p>
        </w:tc>
      </w:tr>
      <w:tr>
        <w:tblPrEx>
          <w:tblCellMar>
            <w:top w:w="0" w:type="dxa"/>
            <w:left w:w="0" w:type="dxa"/>
            <w:bottom w:w="0" w:type="dxa"/>
            <w:right w:w="0" w:type="dxa"/>
          </w:tblCellMar>
        </w:tblPrEx>
        <w:trPr>
          <w:trHeight w:val="397"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12</w:t>
            </w:r>
          </w:p>
        </w:tc>
        <w:tc>
          <w:tcPr>
            <w:tcW w:w="331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自动报警系统</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河马</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6</w:t>
            </w:r>
          </w:p>
        </w:tc>
      </w:tr>
      <w:tr>
        <w:tblPrEx>
          <w:tblCellMar>
            <w:top w:w="0" w:type="dxa"/>
            <w:left w:w="0" w:type="dxa"/>
            <w:bottom w:w="0" w:type="dxa"/>
            <w:right w:w="0" w:type="dxa"/>
          </w:tblCellMar>
        </w:tblPrEx>
        <w:trPr>
          <w:trHeight w:val="397"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31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cs="宋体" w:asciiTheme="majorEastAsia" w:hAnsiTheme="majorEastAsia" w:eastAsiaTheme="majorEastAsia"/>
                <w:color w:val="000000"/>
                <w:sz w:val="24"/>
                <w:szCs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松江</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3</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13</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微型自动灭火装置</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合肥科大立安</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28</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14</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自动扫描灭火装置</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合肥科大立安</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30</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15</w:t>
            </w:r>
          </w:p>
        </w:tc>
        <w:tc>
          <w:tcPr>
            <w:tcW w:w="331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离心式泵</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上海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6</w:t>
            </w:r>
          </w:p>
        </w:tc>
      </w:tr>
      <w:tr>
        <w:tblPrEx>
          <w:tblCellMar>
            <w:top w:w="0" w:type="dxa"/>
            <w:left w:w="0" w:type="dxa"/>
            <w:bottom w:w="0" w:type="dxa"/>
            <w:right w:w="0" w:type="dxa"/>
          </w:tblCellMar>
        </w:tblPrEx>
        <w:trPr>
          <w:trHeight w:val="397" w:hRule="atLeast"/>
        </w:trPr>
        <w:tc>
          <w:tcPr>
            <w:tcW w:w="8353"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西区</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序号</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系统、设备名称</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品牌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数量</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消防主机</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6</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点型光电感烟火灾探测器</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2478</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点型感温火灾探测器</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78</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手动火灾报警按钮</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137</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5</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火灾显示盘</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70</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6</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火灾声光警报器</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葫芦岛正达电子有限公司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103</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7</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消火栓按钮</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422</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8</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排烟阀</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90</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消防电梯工作状态输出装置</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18</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10</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应急照明控制器</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72</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监测排烟风机控制柜手动状态的输入模块</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55</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防火卷帘控制器</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18</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消防应急广播控制柜</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3</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14</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排烟口</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17</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15</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报警阀后信号阀</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22</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16</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楼层信号阀</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26</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17</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电动排烟防火阀</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18</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消防喷淋稳压泵</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19</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水流指示器</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28</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20</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报警阀</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21</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压力开关</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6</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22</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线型光束感烟火灾探测器</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3</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23</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消防电动开窗机控制设备</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10</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24</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消防电梯工作状态输出装置</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25</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消防联动控制器</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3</w:t>
            </w:r>
          </w:p>
        </w:tc>
      </w:tr>
      <w:tr>
        <w:tblPrEx>
          <w:tblCellMar>
            <w:top w:w="0" w:type="dxa"/>
            <w:left w:w="0" w:type="dxa"/>
            <w:bottom w:w="0" w:type="dxa"/>
            <w:right w:w="0" w:type="dxa"/>
          </w:tblCellMar>
        </w:tblPrEx>
        <w:trPr>
          <w:trHeight w:val="397" w:hRule="atLeast"/>
        </w:trPr>
        <w:tc>
          <w:tcPr>
            <w:tcW w:w="9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26</w:t>
            </w:r>
          </w:p>
        </w:tc>
        <w:tc>
          <w:tcPr>
            <w:tcW w:w="3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4"/>
                <w:szCs w:val="24"/>
              </w:rPr>
              <w:t>防火门监控器</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上海松江飞繁电子有限公司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10</w:t>
            </w:r>
          </w:p>
        </w:tc>
      </w:tr>
    </w:tbl>
    <w:p>
      <w:pPr>
        <w:spacing w:line="440" w:lineRule="exact"/>
        <w:ind w:firstLine="482" w:firstLineChars="200"/>
        <w:rPr>
          <w:rFonts w:cs="仿宋" w:asciiTheme="majorEastAsia" w:hAnsiTheme="majorEastAsia" w:eastAsiaTheme="majorEastAsia"/>
          <w:b/>
          <w:bCs/>
          <w:color w:val="000000"/>
          <w:sz w:val="24"/>
          <w:szCs w:val="24"/>
        </w:rPr>
      </w:pPr>
      <w:r>
        <w:rPr>
          <w:rFonts w:hint="eastAsia" w:cs="仿宋" w:asciiTheme="majorEastAsia" w:hAnsiTheme="majorEastAsia" w:eastAsiaTheme="majorEastAsia"/>
          <w:b/>
          <w:bCs/>
          <w:color w:val="000000"/>
          <w:sz w:val="24"/>
          <w:szCs w:val="24"/>
        </w:rPr>
        <w:t>2、维保范围</w:t>
      </w:r>
    </w:p>
    <w:bookmarkEnd w:id="158"/>
    <w:bookmarkEnd w:id="159"/>
    <w:bookmarkEnd w:id="160"/>
    <w:bookmarkEnd w:id="161"/>
    <w:bookmarkEnd w:id="162"/>
    <w:p>
      <w:pPr>
        <w:spacing w:line="440" w:lineRule="exact"/>
        <w:ind w:firstLine="480" w:firstLineChars="200"/>
        <w:rPr>
          <w:rFonts w:cs="仿宋" w:asciiTheme="majorEastAsia" w:hAnsiTheme="majorEastAsia" w:eastAsiaTheme="majorEastAsia"/>
          <w:color w:val="000000"/>
          <w:sz w:val="24"/>
          <w:szCs w:val="24"/>
        </w:rPr>
      </w:pPr>
      <w:bookmarkStart w:id="165" w:name="_Toc479962293"/>
      <w:bookmarkStart w:id="166" w:name="_Toc26554093"/>
      <w:bookmarkStart w:id="167" w:name="_Toc120614281"/>
      <w:bookmarkStart w:id="168" w:name="_Toc49090575"/>
      <w:r>
        <w:rPr>
          <w:rFonts w:hint="eastAsia" w:cs="仿宋" w:asciiTheme="majorEastAsia" w:hAnsiTheme="majorEastAsia" w:eastAsiaTheme="majorEastAsia"/>
          <w:color w:val="000000"/>
          <w:sz w:val="24"/>
          <w:szCs w:val="24"/>
        </w:rPr>
        <w:t>2.1、火灾自动报警系统</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2.2、室内外消火栓系统</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2.3、消防喷淋系统</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2.4、消防炮系统</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2.5、气体灭火系统</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2.6、防排烟系统</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2.7、消防广播、消防对讲系统</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2.8、应急照明及疏散指示系统</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2.9、电气火灾监控系统</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2.10、防火分隔设施</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2.11、消防供配电设施</w:t>
      </w:r>
    </w:p>
    <w:p>
      <w:pPr>
        <w:spacing w:line="440" w:lineRule="exact"/>
        <w:ind w:firstLine="480" w:firstLineChars="200"/>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sz w:val="24"/>
          <w:szCs w:val="24"/>
        </w:rPr>
        <w:t>2.12、消防供水设施</w:t>
      </w:r>
    </w:p>
    <w:p>
      <w:pPr>
        <w:adjustRightInd w:val="0"/>
        <w:snapToGrid w:val="0"/>
        <w:spacing w:line="440" w:lineRule="exact"/>
        <w:ind w:firstLine="482" w:firstLineChars="200"/>
        <w:rPr>
          <w:rFonts w:cs="Arial" w:asciiTheme="majorEastAsia" w:hAnsiTheme="majorEastAsia" w:eastAsiaTheme="majorEastAsia"/>
          <w:color w:val="000000"/>
          <w:sz w:val="24"/>
          <w:szCs w:val="24"/>
        </w:rPr>
      </w:pPr>
      <w:r>
        <w:rPr>
          <w:rFonts w:hint="eastAsia" w:cs="仿宋" w:asciiTheme="majorEastAsia" w:hAnsiTheme="majorEastAsia" w:eastAsiaTheme="majorEastAsia"/>
          <w:b/>
          <w:bCs/>
          <w:color w:val="000000"/>
          <w:kern w:val="0"/>
          <w:sz w:val="24"/>
          <w:szCs w:val="24"/>
          <w:shd w:val="clear" w:color="auto" w:fill="FFFFFF"/>
        </w:rPr>
        <w:t>3、 消防系统中各子系统的服务范围</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3.1、火灾自动报警系统</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（1）对火灾报警系统作定期检查和试验</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a. 对火灾报警控制器的各功能进行试验。</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b. 采用专用检测仪器分期分批试验探测器的动作及确认灯显示。</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c. 每年对备用电源进行1-2次充放电试验，1-3次主电源和备用电源自动切换试验。</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（2）对消防系统联动设备作定期检查和试验</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a. 每年对防排烟设备、防火卷帘门等控制设备做消防联动试验两次。</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b. 每年对火灾事故广播进行消防联动试验两次。</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c. 每年对电梯进行强制停于首层消防联动试验两次。</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d. 每年对消防通讯设备在消防控制室进行对讲通话试验两次。</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e. 每年进行强制切断非消防电源消防联动试验两次。</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 对火灾自动报警系统控制线路及联动线路的故障进行维修。</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（4） 对火灾自动报警系统的故障进行维修。</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（5） 对火灾自动报警系统的消防通讯线路、消防主机电源检查及消防主机接地线路的故障的检查及维修。</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3.2、消火栓系统</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（1）每月对消防泵进行启动运转试验，并对消防泵进行消火栓按钮联动启泵试验。</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（2）每月对系统上所有的控制阀门进行检查，保证控制阀门处于正常工作状态。</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（3）每月对消火栓进行检查，发现问题及时处理。</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（4）每季度对最不利点消火栓进行静压压力试验。</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（5）每半年对室内消火栓箱内的水枪、水带等设备进行检查，发现问题及时通报用户。</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（6）每年对水泵接合器的接口及附件进行检查。</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（7）每年抽查消火栓的出水情况对重点部位的消火栓每年进行出水检查。</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3.3、自动喷水灭火系统</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（1）每月对水源控制阀、报警阀组进行检查，保证系统各种阀门处于工作状态。</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（2）每月对喷淋水泵进行启动运转试验一次。</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（3）每月对电磁阀作启动试验一次，动作失常时马上通知贵单位及时更换。</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（4）每月对喷头进行外观检查，发现有不正常的喷头及时更换，当喷头上有异物时及时清除。</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（5）每季度对湿式报警阀旁的放水试验阀进行泄水试验，验证湿式报警阀的供水能力。</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（6）每半年利用末端试水装置对水流指示器进行试验。</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（7）每年对水泵接合器的接口及附件进行检查并进行维护。</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（8）每年对消防水池，消防水箱及消防气压给水设备的消防储水位及消防气压给水设备的压力进行检查，发现问题及时协助贵单位处理。</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3.4、气体灭火系统</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（1）检查保养气体控制屏,保证正常运行。</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（2）检测气瓶的压力是否达到规范要求,有无泄漏现象。</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kern w:val="0"/>
          <w:sz w:val="24"/>
          <w:szCs w:val="24"/>
          <w:shd w:val="clear" w:color="auto" w:fill="FFFFFF"/>
        </w:rPr>
      </w:pPr>
      <w:r>
        <w:rPr>
          <w:rFonts w:hint="eastAsia" w:cs="仿宋" w:asciiTheme="majorEastAsia" w:hAnsiTheme="majorEastAsia" w:eastAsiaTheme="majorEastAsia"/>
          <w:color w:val="000000"/>
          <w:kern w:val="0"/>
          <w:sz w:val="24"/>
          <w:szCs w:val="24"/>
          <w:shd w:val="clear" w:color="auto" w:fill="FFFFFF"/>
        </w:rPr>
        <w:t>（3）检查试验手动和自动放气装置是否正常。</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（4） 模拟自动报警系统中的烟、温感探测器同时动作, 检查气瓶的电磁阀是否动作, 控制屏是否有放气信号,警铃、蜂鸣器是否动作。</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（5）每月检测控制屏的功能情况、气瓶压力是否正常。</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（6）每季度检查试验手动和自动放气装置。</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（7）每季度模拟进行烟、温感探测器动作，是否有放气信号，警铃、蜂鸣器是否动作灵敏。</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3.5、防火分区</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（1）每周检查木质防火门、防火卷帘门、电动防火门等的完好情况。</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（2）每季度手动或自动启停防火卷帘门、电动防火门试验.检查其性能。</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3.6、防排烟系统</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（1）每周检查送风、排烟机房工作环境以及送风机、排烟机、电源控制柜、送风阀、排烟阀等是否处于正常完好状态。</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（2）每半年手动或自动打开排烟阀、启/停送风机、排烟机查看其性能。</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（3）每半年手动或自动方式关闭空调通风系统、电动防火阀试验，检查其性能。</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3.7、应急照明疏散指示</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（1）每周检查安全出口、疏散通道、重要场所的应急照明和疏散指示标志是否处于正常完好使用状态。</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（2）每月试验应急照明灯和疏散指示灯切断电源后是否能正常工作。</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3.8、其它</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（1）每季度检查干粉灭火器的压力、重量、有效期等。必要时做喷射试验。</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（2）每月检查集水坑排设备、自救逃生设备，消防电源及自动切换设备是否处于正常完好状态。</w:t>
      </w:r>
    </w:p>
    <w:p>
      <w:pPr>
        <w:widowControl/>
        <w:shd w:val="clear" w:color="auto" w:fill="FFFFFF"/>
        <w:adjustRightInd w:val="0"/>
        <w:snapToGrid w:val="0"/>
        <w:spacing w:line="440" w:lineRule="exact"/>
        <w:ind w:firstLine="420"/>
        <w:jc w:val="left"/>
        <w:rPr>
          <w:rFonts w:cs="仿宋" w:asciiTheme="majorEastAsia" w:hAnsiTheme="majorEastAsia" w:eastAsiaTheme="majorEastAsia"/>
          <w:color w:val="000000"/>
          <w:kern w:val="0"/>
          <w:sz w:val="24"/>
          <w:szCs w:val="24"/>
          <w:shd w:val="clear" w:color="auto" w:fill="FFFFFF"/>
        </w:rPr>
      </w:pPr>
      <w:r>
        <w:rPr>
          <w:rFonts w:hint="eastAsia" w:cs="仿宋" w:asciiTheme="majorEastAsia" w:hAnsiTheme="majorEastAsia" w:eastAsiaTheme="majorEastAsia"/>
          <w:color w:val="000000"/>
          <w:kern w:val="0"/>
          <w:sz w:val="24"/>
          <w:szCs w:val="24"/>
          <w:shd w:val="clear" w:color="auto" w:fill="FFFFFF"/>
        </w:rPr>
        <w:t>（3）每季度试验消防电源末端的切换功能。</w:t>
      </w:r>
    </w:p>
    <w:p>
      <w:pPr>
        <w:widowControl/>
        <w:shd w:val="clear" w:color="auto" w:fill="FFFFFF"/>
        <w:adjustRightInd w:val="0"/>
        <w:snapToGrid w:val="0"/>
        <w:spacing w:line="440" w:lineRule="exact"/>
        <w:ind w:firstLine="640"/>
        <w:jc w:val="left"/>
        <w:rPr>
          <w:rFonts w:cs="仿宋" w:asciiTheme="majorEastAsia" w:hAnsiTheme="majorEastAsia" w:eastAsiaTheme="majorEastAsia"/>
          <w:b/>
          <w:bCs/>
          <w:color w:val="000000"/>
          <w:kern w:val="0"/>
          <w:sz w:val="24"/>
          <w:szCs w:val="24"/>
          <w:shd w:val="clear" w:color="auto" w:fill="FFFFFF"/>
        </w:rPr>
      </w:pPr>
      <w:r>
        <w:rPr>
          <w:rFonts w:hint="eastAsia" w:cs="仿宋" w:asciiTheme="majorEastAsia" w:hAnsiTheme="majorEastAsia" w:eastAsiaTheme="majorEastAsia"/>
          <w:b/>
          <w:bCs/>
          <w:color w:val="000000"/>
          <w:kern w:val="0"/>
          <w:sz w:val="24"/>
          <w:szCs w:val="24"/>
          <w:shd w:val="clear" w:color="auto" w:fill="FFFFFF"/>
        </w:rPr>
        <w:t>4、维护标准</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4.1、保证系统正常工作。</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4.2、维护质量必须符合经双方核定的竣工图纸的要求，并且满足现行消防规范的要求。</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color w:val="000000"/>
          <w:sz w:val="24"/>
          <w:szCs w:val="24"/>
        </w:rPr>
      </w:pPr>
      <w:r>
        <w:rPr>
          <w:rFonts w:hint="eastAsia" w:cs="仿宋" w:asciiTheme="majorEastAsia" w:hAnsiTheme="majorEastAsia" w:eastAsiaTheme="majorEastAsia"/>
          <w:color w:val="000000"/>
          <w:kern w:val="0"/>
          <w:sz w:val="24"/>
          <w:szCs w:val="24"/>
          <w:shd w:val="clear" w:color="auto" w:fill="FFFFFF"/>
        </w:rPr>
        <w:t>4.3、设备发生故障，维保人员应在2小时内响应，二十四小时内检修解除故障。在确实没有配件的情况下应及时向招标单位汇报，并采取有效的应急措施，防止出现安全事故。</w:t>
      </w:r>
    </w:p>
    <w:p>
      <w:pPr>
        <w:widowControl/>
        <w:shd w:val="clear" w:color="auto" w:fill="FFFFFF"/>
        <w:adjustRightInd w:val="0"/>
        <w:snapToGrid w:val="0"/>
        <w:spacing w:line="440" w:lineRule="exact"/>
        <w:ind w:firstLine="480" w:firstLineChars="200"/>
        <w:jc w:val="left"/>
        <w:rPr>
          <w:rFonts w:cs="仿宋" w:asciiTheme="majorEastAsia" w:hAnsiTheme="majorEastAsia" w:eastAsiaTheme="majorEastAsia"/>
          <w:b/>
          <w:bCs/>
          <w:color w:val="000000"/>
          <w:sz w:val="30"/>
          <w:szCs w:val="30"/>
        </w:rPr>
      </w:pPr>
      <w:r>
        <w:rPr>
          <w:rFonts w:hint="eastAsia" w:cs="仿宋" w:asciiTheme="majorEastAsia" w:hAnsiTheme="majorEastAsia" w:eastAsiaTheme="majorEastAsia"/>
          <w:color w:val="000000"/>
          <w:kern w:val="0"/>
          <w:sz w:val="24"/>
          <w:szCs w:val="24"/>
          <w:shd w:val="clear" w:color="auto" w:fill="FFFFFF"/>
        </w:rPr>
        <w:t>4.4、提供详细的月检、季检及年度试验报告，以方便贵单位备案。</w:t>
      </w:r>
    </w:p>
    <w:p>
      <w:pPr>
        <w:widowControl/>
        <w:shd w:val="clear" w:color="auto" w:fill="FFFFFF"/>
        <w:adjustRightInd w:val="0"/>
        <w:snapToGrid w:val="0"/>
        <w:spacing w:line="440" w:lineRule="exact"/>
        <w:ind w:firstLine="640"/>
        <w:jc w:val="left"/>
        <w:rPr>
          <w:rFonts w:cs="仿宋" w:asciiTheme="majorEastAsia" w:hAnsiTheme="majorEastAsia" w:eastAsiaTheme="majorEastAsia"/>
          <w:b/>
          <w:bCs/>
          <w:color w:val="000000"/>
          <w:kern w:val="0"/>
          <w:sz w:val="24"/>
          <w:szCs w:val="24"/>
          <w:shd w:val="clear" w:color="auto" w:fill="FFFFFF"/>
        </w:rPr>
      </w:pPr>
      <w:r>
        <w:rPr>
          <w:rFonts w:hint="eastAsia" w:cs="仿宋" w:asciiTheme="majorEastAsia" w:hAnsiTheme="majorEastAsia" w:eastAsiaTheme="majorEastAsia"/>
          <w:b/>
          <w:bCs/>
          <w:color w:val="000000"/>
          <w:kern w:val="0"/>
          <w:sz w:val="24"/>
          <w:szCs w:val="24"/>
          <w:shd w:val="clear" w:color="auto" w:fill="FFFFFF"/>
        </w:rPr>
        <w:t>5、其他要求</w:t>
      </w:r>
    </w:p>
    <w:p>
      <w:pPr>
        <w:widowControl/>
        <w:spacing w:line="440" w:lineRule="exact"/>
        <w:ind w:firstLine="476"/>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 xml:space="preserve">5.1、对采购人提出的业务技能培训要求，中标人将根据采购人的实际需求，积极配合采购人的工作，定期组织相关培训，完成一本维护保养常见问题的操作手册。 </w:t>
      </w:r>
    </w:p>
    <w:p>
      <w:pPr>
        <w:widowControl/>
        <w:spacing w:line="440" w:lineRule="exact"/>
        <w:ind w:firstLine="475"/>
        <w:jc w:val="left"/>
        <w:rPr>
          <w:color w:val="000000"/>
          <w:kern w:val="0"/>
          <w:sz w:val="24"/>
          <w:szCs w:val="24"/>
        </w:rPr>
      </w:pPr>
      <w:r>
        <w:rPr>
          <w:rFonts w:hint="eastAsia" w:cs="仿宋" w:asciiTheme="majorEastAsia" w:hAnsiTheme="majorEastAsia" w:eastAsiaTheme="majorEastAsia"/>
          <w:color w:val="000000"/>
          <w:sz w:val="24"/>
          <w:szCs w:val="24"/>
        </w:rPr>
        <w:t>5.2、</w:t>
      </w:r>
      <w:r>
        <w:rPr>
          <w:rFonts w:hint="eastAsia" w:ascii="宋体" w:hAnsi="宋体" w:cs="宋体"/>
          <w:color w:val="000000"/>
          <w:kern w:val="0"/>
          <w:sz w:val="24"/>
          <w:szCs w:val="24"/>
          <w:shd w:val="clear" w:color="auto" w:fill="FFFFFF"/>
        </w:rPr>
        <w:t>中标人自行提供必要的维护保养工具设备，以便随时解决系统出现的各种各类故障，确保系统正常运行。</w:t>
      </w:r>
    </w:p>
    <w:p>
      <w:pPr>
        <w:widowControl/>
        <w:spacing w:line="440" w:lineRule="exact"/>
        <w:ind w:firstLine="475"/>
        <w:jc w:val="left"/>
        <w:rPr>
          <w:color w:val="000000"/>
          <w:kern w:val="0"/>
          <w:sz w:val="24"/>
          <w:szCs w:val="24"/>
        </w:rPr>
      </w:pPr>
      <w:r>
        <w:rPr>
          <w:rFonts w:hint="eastAsia" w:ascii="宋体" w:hAnsi="宋体" w:cs="宋体"/>
          <w:color w:val="000000"/>
          <w:kern w:val="0"/>
          <w:sz w:val="24"/>
          <w:szCs w:val="24"/>
          <w:shd w:val="clear" w:color="auto" w:fill="FFFFFF"/>
        </w:rPr>
        <w:t>5.3、除招标文件中规定采购人负责的工作外，在维修保养过程中，中标人自行解决驻场维保人员的住宿、用电用水、交通等相关费用。对外发生的任何纠纷与交涉以及由此造成的损失，均由中标人自行解决，如需采购人进行协调，则协调所发生的费用由中标人承担。</w:t>
      </w:r>
    </w:p>
    <w:p>
      <w:pPr>
        <w:widowControl/>
        <w:spacing w:line="440" w:lineRule="exact"/>
        <w:ind w:firstLine="480" w:firstLineChars="200"/>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5.4、投标方如中标，在进入施工现场后，应遵守国家相关法律法规、市场管理规定，并负责施工范围内的一切安全防护措施、承担施工范围内的一切安全责任，投标方应在其投标文件中作出承诺。</w:t>
      </w:r>
    </w:p>
    <w:p>
      <w:pPr>
        <w:widowControl/>
        <w:spacing w:line="440" w:lineRule="exact"/>
        <w:ind w:firstLine="475"/>
        <w:jc w:val="left"/>
        <w:rPr>
          <w:b/>
          <w:kern w:val="0"/>
          <w:sz w:val="24"/>
          <w:szCs w:val="24"/>
        </w:rPr>
      </w:pPr>
      <w:r>
        <w:rPr>
          <w:rFonts w:hint="eastAsia" w:ascii="宋体" w:hAnsi="宋体" w:cs="宋体"/>
          <w:b/>
          <w:color w:val="000000"/>
          <w:kern w:val="0"/>
          <w:sz w:val="24"/>
          <w:szCs w:val="24"/>
          <w:shd w:val="clear" w:color="auto" w:fill="FFFFFF"/>
        </w:rPr>
        <w:t>需要确保所有参与维保的人员具有相应施工工序的持证上岗证，符合国家相关法律法规。</w:t>
      </w:r>
    </w:p>
    <w:p>
      <w:pPr>
        <w:widowControl/>
        <w:spacing w:line="440" w:lineRule="exact"/>
        <w:ind w:firstLine="475"/>
        <w:jc w:val="left"/>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5.5、中标人维保期满或中途原因退出后，须免费延长一个月的照常维护，进行业务上的交接。以便于采购人后续工作安排。</w:t>
      </w:r>
    </w:p>
    <w:p>
      <w:pPr>
        <w:widowControl/>
        <w:spacing w:line="440" w:lineRule="exact"/>
        <w:ind w:firstLine="475"/>
        <w:jc w:val="left"/>
        <w:rPr>
          <w:rFonts w:ascii="宋体" w:hAnsi="宋体" w:cs="宋体"/>
          <w:b/>
          <w:kern w:val="0"/>
          <w:sz w:val="24"/>
          <w:szCs w:val="24"/>
          <w:shd w:val="clear" w:color="auto" w:fill="FFFFFF"/>
        </w:rPr>
      </w:pPr>
      <w:r>
        <w:rPr>
          <w:rFonts w:hint="eastAsia" w:ascii="宋体" w:hAnsi="宋体" w:cs="宋体"/>
          <w:b/>
          <w:kern w:val="0"/>
          <w:sz w:val="24"/>
          <w:szCs w:val="24"/>
          <w:shd w:val="clear" w:color="auto" w:fill="FFFFFF"/>
        </w:rPr>
        <w:t>项目经理不得随意更换，如因特殊原因，确需更换需向业主提交申请并取得同意；现场施工人员必须固定，并接受业主的安全交底、培训、管理和监督，如发现违规行为，业主有权进行处罚。</w:t>
      </w:r>
    </w:p>
    <w:p>
      <w:pPr>
        <w:widowControl/>
        <w:spacing w:line="440" w:lineRule="exact"/>
        <w:ind w:firstLine="475"/>
        <w:jc w:val="left"/>
      </w:pPr>
      <w:r>
        <w:rPr>
          <w:rFonts w:hint="eastAsia" w:ascii="宋体" w:hAnsi="宋体" w:cs="宋体"/>
          <w:b/>
          <w:kern w:val="0"/>
          <w:sz w:val="24"/>
          <w:szCs w:val="24"/>
          <w:shd w:val="clear" w:color="auto" w:fill="FFFFFF"/>
        </w:rPr>
        <w:t>必须配备专业的运维服务团队，并将制定全面有效的运维技术服务方案，从设备、人员、规章制度等各个方面做好相应的技术服务和合理安排。</w:t>
      </w:r>
    </w:p>
    <w:p>
      <w:pPr>
        <w:pStyle w:val="2"/>
        <w:ind w:firstLine="0" w:firstLineChars="0"/>
        <w:rPr>
          <w:b/>
          <w:bCs/>
          <w:sz w:val="30"/>
          <w:szCs w:val="30"/>
        </w:rPr>
      </w:pPr>
      <w:r>
        <w:rPr>
          <w:rFonts w:hint="eastAsia"/>
          <w:b/>
          <w:bCs/>
          <w:sz w:val="30"/>
          <w:szCs w:val="30"/>
        </w:rPr>
        <w:t>三、检查与考核</w:t>
      </w:r>
    </w:p>
    <w:p>
      <w:pPr>
        <w:pStyle w:val="2"/>
        <w:ind w:firstLine="480"/>
        <w:rPr>
          <w:rFonts w:eastAsiaTheme="majorEastAsia"/>
          <w:sz w:val="24"/>
          <w:szCs w:val="24"/>
        </w:rPr>
      </w:pPr>
      <w:r>
        <w:rPr>
          <w:rFonts w:hint="eastAsia" w:eastAsiaTheme="majorEastAsia"/>
          <w:sz w:val="24"/>
          <w:szCs w:val="24"/>
        </w:rPr>
        <w:t>为减少故障发生频次，提高维修响应速度，保障消防系统的正常运行，采购人将组织相关人员对中标方在维保期内进行检查与考核；</w:t>
      </w:r>
    </w:p>
    <w:p>
      <w:pPr>
        <w:pStyle w:val="2"/>
        <w:ind w:firstLine="480"/>
        <w:rPr>
          <w:rFonts w:eastAsiaTheme="majorEastAsia"/>
          <w:sz w:val="24"/>
          <w:szCs w:val="24"/>
        </w:rPr>
      </w:pPr>
      <w:r>
        <w:rPr>
          <w:rFonts w:hint="eastAsia" w:eastAsiaTheme="majorEastAsia"/>
          <w:sz w:val="24"/>
          <w:szCs w:val="24"/>
        </w:rPr>
        <w:t>1、考核内容：主要围绕故障处置与发现、维修响应速度、维修质量、人员值守情况、安全生产管理、文档资料传送等方面进行检查考核（详见附表一～三内容）；</w:t>
      </w:r>
    </w:p>
    <w:p>
      <w:pPr>
        <w:pStyle w:val="2"/>
        <w:ind w:firstLine="480"/>
        <w:rPr>
          <w:rFonts w:eastAsiaTheme="majorEastAsia"/>
          <w:sz w:val="24"/>
          <w:szCs w:val="24"/>
        </w:rPr>
      </w:pPr>
      <w:r>
        <w:rPr>
          <w:rFonts w:hint="eastAsia" w:eastAsiaTheme="majorEastAsia"/>
          <w:sz w:val="24"/>
          <w:szCs w:val="24"/>
        </w:rPr>
        <w:t>2、考核办法：采用“月度检查，年终评定”的考核办法进行。具体为：</w:t>
      </w:r>
    </w:p>
    <w:p>
      <w:pPr>
        <w:pStyle w:val="2"/>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（1）月度按百分制检查和考核；</w:t>
      </w:r>
    </w:p>
    <w:p>
      <w:pPr>
        <w:pStyle w:val="2"/>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（2）月度检查：考核得分高于或等于80分的，每处扣1分，以50元/分计算扣罚；单项考核得分低于80分的，则一次性处罚3000元/月。</w:t>
      </w:r>
    </w:p>
    <w:p>
      <w:pPr>
        <w:pStyle w:val="2"/>
        <w:ind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（3）年度评定：取全年的月度平均分，年平均分≥80分的，双方则可以续签第二年维保合同；年平均分＜80分的，采购人则终止续签下一年合同。</w:t>
      </w:r>
    </w:p>
    <w:p>
      <w:pPr>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3、考核细则</w:t>
      </w:r>
    </w:p>
    <w:p>
      <w:pPr>
        <w:spacing w:line="440" w:lineRule="exact"/>
        <w:ind w:firstLine="482" w:firstLineChars="20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（1）消防维保考核细则：</w:t>
      </w:r>
    </w:p>
    <w:p>
      <w:pPr>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①日常维保情况旨在考核维保队伍维保响应情况和技术水平，主要考核维保响应时间和故障修复时间。未按要求到达现场的，一般故障每次扣2分，严重故障每次扣3分，未按要求恢复设备正常运行的，一般故障每次扣2分，严重故障每次扣3分。具体考核项目和标准见《消防系统维保情况记录表》。</w:t>
      </w:r>
    </w:p>
    <w:p>
      <w:pPr>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②月度抽查项目依据本月度维保计划抽取，每次抽查前由抽查组成员随机抽取，抽查内容应涵盖火灾警报装置、火灾探测器、空气采样系统、联动系统、气体灭火系统、预作用喷淋系统、广播系统、消控中心控制设备等，设备维保标准参照月度维保计划表和《消防系统维保月度抽查情况表》。发现不符合要求的，每项扣3分。</w:t>
      </w:r>
    </w:p>
    <w:p>
      <w:pPr>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③中标人每月底制定下月维保计划，中标人必须严格按计划执行，并认真填写当月维保实施情况。因特殊情况当月无法进行维保的，需由采购人确认。未按计划实施维保的，每项扣3分，维保质量不符合要求的，每项扣3分。</w:t>
      </w:r>
    </w:p>
    <w:p>
      <w:pPr>
        <w:spacing w:line="440" w:lineRule="exact"/>
        <w:ind w:firstLine="480" w:firstLineChars="200"/>
      </w:pPr>
      <w:r>
        <w:rPr>
          <w:rFonts w:hint="eastAsia" w:ascii="宋体" w:hAnsi="宋体" w:cs="宋体"/>
          <w:kern w:val="0"/>
          <w:sz w:val="24"/>
          <w:szCs w:val="24"/>
          <w:shd w:val="clear" w:color="auto" w:fill="FFFFFF"/>
        </w:rPr>
        <w:t>④</w:t>
      </w:r>
      <w:r>
        <w:rPr>
          <w:rFonts w:hint="eastAsia" w:asciiTheme="majorEastAsia" w:hAnsiTheme="majorEastAsia" w:eastAsiaTheme="majorEastAsia"/>
          <w:sz w:val="24"/>
          <w:szCs w:val="24"/>
        </w:rPr>
        <w:t>维保人员应遵行安全管理的相关规定。未按要求执行到位，每次扣3分。</w:t>
      </w:r>
    </w:p>
    <w:p>
      <w:pPr>
        <w:widowControl/>
        <w:numPr>
          <w:ilvl w:val="0"/>
          <w:numId w:val="4"/>
        </w:numPr>
        <w:spacing w:line="446" w:lineRule="atLeast"/>
        <w:ind w:firstLine="482" w:firstLineChars="200"/>
        <w:jc w:val="left"/>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其他要求：</w:t>
      </w:r>
    </w:p>
    <w:p>
      <w:pPr>
        <w:spacing w:line="44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每月2日前（节假日顺延）将上月维保记录（含月计划完成情况、设备故障情况、故障原因、处理方法、处理结果、处理完成时间和维保人员等信息）、月维保报告（含消防系统的运行情况、维保建议等）移交给采购人。未按照要求做好消防系统的维保记录、月维保报告的，每次扣3分，未按时间节点提交的，每次扣3分。</w:t>
      </w:r>
    </w:p>
    <w:p>
      <w:pPr>
        <w:rPr>
          <w:rFonts w:cs="仿宋" w:asciiTheme="majorEastAsia" w:hAnsiTheme="majorEastAsia" w:eastAsiaTheme="majorEastAsia"/>
          <w:b/>
          <w:bCs/>
          <w:color w:val="000000"/>
          <w:sz w:val="30"/>
          <w:szCs w:val="30"/>
        </w:rPr>
      </w:pPr>
      <w:r>
        <w:rPr>
          <w:rFonts w:hint="eastAsia" w:cs="仿宋" w:asciiTheme="majorEastAsia" w:hAnsiTheme="majorEastAsia" w:eastAsiaTheme="majorEastAsia"/>
          <w:b/>
          <w:bCs/>
          <w:color w:val="000000"/>
          <w:sz w:val="30"/>
          <w:szCs w:val="30"/>
        </w:rPr>
        <w:t>四、维保人员配备：</w:t>
      </w:r>
    </w:p>
    <w:p>
      <w:pPr>
        <w:widowControl/>
        <w:adjustRightInd w:val="0"/>
        <w:snapToGrid w:val="0"/>
        <w:spacing w:line="480" w:lineRule="exact"/>
        <w:ind w:firstLine="480" w:firstLineChars="200"/>
        <w:jc w:val="left"/>
        <w:rPr>
          <w:lang w:val="zh-CN"/>
        </w:rPr>
      </w:pPr>
      <w:r>
        <w:rPr>
          <w:rFonts w:hint="eastAsia" w:asciiTheme="majorEastAsia" w:hAnsiTheme="majorEastAsia" w:eastAsiaTheme="majorEastAsia"/>
          <w:kern w:val="0"/>
          <w:sz w:val="24"/>
          <w:szCs w:val="24"/>
        </w:rPr>
        <w:t>1、消防控制室需保证达到24小时双人的值班值守要求，搭配值班的两人，其中必须有一人持有</w:t>
      </w:r>
      <w:r>
        <w:rPr>
          <w:rFonts w:hint="eastAsia" w:ascii="宋体" w:hAnsi="宋体" w:cs="宋体"/>
          <w:sz w:val="24"/>
          <w:szCs w:val="24"/>
          <w:lang w:val="zh-CN"/>
        </w:rPr>
        <w:t>建（构）筑物消防员证书或消防设施操作员中级及以上证书；</w:t>
      </w:r>
    </w:p>
    <w:p>
      <w:pPr>
        <w:widowControl/>
        <w:adjustRightInd w:val="0"/>
        <w:snapToGrid w:val="0"/>
        <w:spacing w:line="480" w:lineRule="exact"/>
        <w:ind w:firstLine="480" w:firstLineChars="200"/>
        <w:jc w:val="left"/>
        <w:rPr>
          <w:rFonts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消防维保人员必须驻场服务；</w:t>
      </w:r>
    </w:p>
    <w:p>
      <w:pPr>
        <w:widowControl/>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rPr>
        <w:t>3、所有人员双休日及法定节假日不休息。</w:t>
      </w:r>
    </w:p>
    <w:p>
      <w:pPr>
        <w:pStyle w:val="2"/>
        <w:ind w:firstLineChars="175"/>
        <w:rPr>
          <w:sz w:val="24"/>
          <w:szCs w:val="24"/>
        </w:rPr>
      </w:pPr>
      <w:r>
        <w:rPr>
          <w:rFonts w:hint="eastAsia"/>
          <w:sz w:val="24"/>
          <w:szCs w:val="24"/>
        </w:rPr>
        <w:t>4、所有拟派人员男性年龄不得超过60周岁，女性年龄不得超过50周岁。</w:t>
      </w:r>
    </w:p>
    <w:p>
      <w:pPr>
        <w:rPr>
          <w:rFonts w:cs="仿宋" w:asciiTheme="majorEastAsia" w:hAnsiTheme="majorEastAsia" w:eastAsiaTheme="majorEastAsia"/>
          <w:b/>
          <w:bCs/>
          <w:color w:val="000000"/>
          <w:sz w:val="30"/>
          <w:szCs w:val="30"/>
        </w:rPr>
      </w:pPr>
      <w:r>
        <w:rPr>
          <w:rFonts w:cs="仿宋" w:asciiTheme="majorEastAsia" w:hAnsiTheme="majorEastAsia" w:eastAsiaTheme="majorEastAsia"/>
          <w:b/>
          <w:bCs/>
          <w:color w:val="000000"/>
          <w:sz w:val="30"/>
          <w:szCs w:val="30"/>
        </w:rPr>
        <w:t>五、维保期限：</w:t>
      </w:r>
    </w:p>
    <w:p>
      <w:pPr>
        <w:spacing w:line="440" w:lineRule="exact"/>
        <w:ind w:firstLine="480" w:firstLineChars="200"/>
        <w:rPr>
          <w:rFonts w:ascii="宋体" w:hAnsi="宋体" w:cs="Arial"/>
          <w:kern w:val="0"/>
          <w:sz w:val="24"/>
          <w:szCs w:val="24"/>
        </w:rPr>
      </w:pPr>
      <w:r>
        <w:rPr>
          <w:rFonts w:hint="eastAsia" w:ascii="宋体" w:hAnsi="宋体" w:cs="Arial"/>
          <w:kern w:val="0"/>
          <w:sz w:val="24"/>
          <w:szCs w:val="24"/>
        </w:rPr>
        <w:t>三年。维保服务合同一年一签，维保服务当年期满通过年度评定的，按中标维保价格续签下一年维保服务期。年度评定不通过的，采购人有权立即终止合同，另行招标。</w:t>
      </w:r>
    </w:p>
    <w:p>
      <w:pPr>
        <w:spacing w:line="440" w:lineRule="exact"/>
        <w:ind w:firstLine="482" w:firstLineChars="200"/>
        <w:rPr>
          <w:rFonts w:cs="仿宋" w:asciiTheme="majorEastAsia" w:hAnsiTheme="majorEastAsia"/>
          <w:b/>
          <w:bCs/>
          <w:sz w:val="30"/>
          <w:szCs w:val="30"/>
        </w:rPr>
      </w:pPr>
      <w:r>
        <w:rPr>
          <w:rFonts w:hint="eastAsia" w:ascii="宋体" w:hAnsi="宋体" w:cs="Arial"/>
          <w:b/>
          <w:bCs/>
          <w:kern w:val="0"/>
          <w:sz w:val="24"/>
          <w:szCs w:val="24"/>
        </w:rPr>
        <w:t>年度评定中，年度考核评分不低于80分时，视为年度评定通过，否则即为年度评定不通过。</w:t>
      </w:r>
      <w:r>
        <w:rPr>
          <w:rFonts w:cs="仿宋" w:asciiTheme="majorEastAsia" w:hAnsiTheme="majorEastAsia"/>
          <w:b/>
          <w:bCs/>
          <w:sz w:val="30"/>
          <w:szCs w:val="30"/>
        </w:rPr>
        <w:t xml:space="preserve"> </w:t>
      </w:r>
    </w:p>
    <w:p>
      <w:pPr>
        <w:rPr>
          <w:rFonts w:cs="仿宋" w:asciiTheme="majorEastAsia" w:hAnsiTheme="majorEastAsia" w:eastAsiaTheme="majorEastAsia"/>
          <w:b/>
          <w:bCs/>
          <w:sz w:val="30"/>
          <w:szCs w:val="30"/>
        </w:rPr>
      </w:pPr>
      <w:r>
        <w:rPr>
          <w:rFonts w:cs="仿宋" w:asciiTheme="majorEastAsia" w:hAnsiTheme="majorEastAsia" w:eastAsiaTheme="majorEastAsia"/>
          <w:b/>
          <w:bCs/>
          <w:sz w:val="30"/>
          <w:szCs w:val="30"/>
        </w:rPr>
        <w:t>六、付款方式：</w:t>
      </w:r>
    </w:p>
    <w:p>
      <w:pPr>
        <w:spacing w:line="440" w:lineRule="exact"/>
        <w:ind w:firstLine="480" w:firstLineChars="200"/>
        <w:rPr>
          <w:rFonts w:asciiTheme="majorEastAsia" w:hAnsiTheme="majorEastAsia" w:eastAsiaTheme="majorEastAsia" w:cstheme="minorBidi"/>
          <w:sz w:val="24"/>
          <w:szCs w:val="24"/>
        </w:rPr>
      </w:pPr>
      <w:r>
        <w:rPr>
          <w:rFonts w:hint="eastAsia" w:asciiTheme="majorEastAsia" w:hAnsiTheme="majorEastAsia" w:eastAsiaTheme="majorEastAsia" w:cstheme="minorBidi"/>
          <w:color w:val="333333"/>
          <w:sz w:val="24"/>
          <w:szCs w:val="22"/>
        </w:rPr>
        <w:t>每季度结算一次。每个结算期满后10日内由中标人提供等额服务费增值税发票、并经采购人审核后付款。</w:t>
      </w:r>
    </w:p>
    <w:p>
      <w:pPr>
        <w:widowControl/>
        <w:adjustRightInd w:val="0"/>
        <w:snapToGrid w:val="0"/>
        <w:spacing w:line="520" w:lineRule="exact"/>
        <w:ind w:firstLine="480" w:firstLineChars="200"/>
        <w:jc w:val="left"/>
        <w:rPr>
          <w:rFonts w:ascii="宋体" w:hAnsi="宋体" w:cs="Arial"/>
          <w:kern w:val="0"/>
          <w:sz w:val="24"/>
          <w:szCs w:val="24"/>
        </w:rPr>
      </w:pPr>
    </w:p>
    <w:p>
      <w:pPr>
        <w:spacing w:line="300" w:lineRule="exact"/>
        <w:rPr>
          <w:rFonts w:ascii="宋体" w:hAnsi="宋体" w:cs="宋体"/>
          <w:color w:val="000000"/>
          <w:kern w:val="0"/>
          <w:sz w:val="24"/>
          <w:szCs w:val="24"/>
          <w:shd w:val="clear" w:color="auto" w:fill="FFFFFF"/>
        </w:rPr>
      </w:pPr>
    </w:p>
    <w:p>
      <w:pPr>
        <w:spacing w:line="300" w:lineRule="exact"/>
        <w:rPr>
          <w:rFonts w:ascii="宋体" w:hAnsi="宋体" w:cs="宋体"/>
          <w:color w:val="000000"/>
          <w:kern w:val="0"/>
          <w:sz w:val="24"/>
          <w:szCs w:val="24"/>
          <w:shd w:val="clear" w:color="auto" w:fill="FFFFFF"/>
        </w:rPr>
      </w:pPr>
    </w:p>
    <w:p>
      <w:pPr>
        <w:spacing w:line="300" w:lineRule="exact"/>
        <w:rPr>
          <w:rFonts w:ascii="宋体" w:hAnsi="宋体" w:cs="宋体"/>
          <w:color w:val="000000"/>
          <w:kern w:val="0"/>
          <w:sz w:val="24"/>
          <w:szCs w:val="24"/>
          <w:shd w:val="clear" w:color="auto" w:fill="FFFFFF"/>
        </w:rPr>
        <w:sectPr>
          <w:footerReference r:id="rId4" w:type="first"/>
          <w:footerReference r:id="rId3" w:type="default"/>
          <w:pgSz w:w="11906" w:h="16838"/>
          <w:pgMar w:top="1440" w:right="1800" w:bottom="1440" w:left="1800" w:header="851" w:footer="992" w:gutter="0"/>
          <w:cols w:space="425" w:num="1"/>
          <w:docGrid w:type="lines" w:linePitch="312" w:charSpace="0"/>
        </w:sectPr>
      </w:pPr>
    </w:p>
    <w:p>
      <w:pPr>
        <w:rPr>
          <w:rFonts w:ascii="Times New Roman" w:hAnsi="Times New Roman"/>
          <w:color w:val="000000"/>
        </w:rPr>
      </w:pPr>
    </w:p>
    <w:p>
      <w:pPr>
        <w:rPr>
          <w:rFonts w:ascii="Times New Roman" w:hAnsi="Times New Roman"/>
          <w:b/>
          <w:color w:val="000000"/>
        </w:rPr>
      </w:pPr>
      <w:r>
        <w:rPr>
          <w:rFonts w:hint="eastAsia" w:ascii="Times New Roman" w:hAnsi="Times New Roman"/>
          <w:color w:val="000000"/>
        </w:rPr>
        <w:t>附表一</w:t>
      </w:r>
      <w:r>
        <w:rPr>
          <w:rFonts w:hint="eastAsia" w:ascii="Times New Roman" w:hAnsi="Times New Roman"/>
          <w:b/>
          <w:color w:val="000000"/>
        </w:rPr>
        <w:t xml:space="preserve">                                               消防系统维保情况记录表</w:t>
      </w:r>
    </w:p>
    <w:p>
      <w:pPr>
        <w:ind w:firstLine="10395" w:firstLineChars="4950"/>
        <w:rPr>
          <w:rFonts w:ascii="Times New Roman" w:hAnsi="Times New Roman"/>
          <w:color w:val="000000"/>
          <w:szCs w:val="24"/>
        </w:rPr>
      </w:pPr>
      <w:r>
        <w:rPr>
          <w:rFonts w:hint="eastAsia" w:ascii="Times New Roman" w:hAnsi="Times New Roman"/>
          <w:color w:val="000000"/>
          <w:szCs w:val="24"/>
        </w:rPr>
        <w:t>维保单位：</w:t>
      </w:r>
      <w:r>
        <w:rPr>
          <w:rFonts w:hint="eastAsia" w:ascii="Times New Roman" w:hAnsi="Times New Roman"/>
          <w:color w:val="000000"/>
          <w:szCs w:val="24"/>
          <w:u w:val="single"/>
        </w:rPr>
        <w:t xml:space="preserve">                   </w:t>
      </w:r>
    </w:p>
    <w:p>
      <w:pPr>
        <w:ind w:firstLine="10395" w:firstLineChars="4950"/>
        <w:rPr>
          <w:rFonts w:ascii="Times New Roman" w:hAnsi="Times New Roman"/>
          <w:color w:val="000000"/>
          <w:szCs w:val="24"/>
          <w:u w:val="single"/>
        </w:rPr>
      </w:pPr>
      <w:r>
        <w:rPr>
          <w:rFonts w:hint="eastAsia" w:ascii="Times New Roman" w:hAnsi="Times New Roman"/>
          <w:color w:val="000000"/>
          <w:szCs w:val="24"/>
        </w:rPr>
        <w:t>维保时间：</w:t>
      </w:r>
      <w:r>
        <w:rPr>
          <w:rFonts w:hint="eastAsia" w:ascii="Times New Roman" w:hAnsi="Times New Roman"/>
          <w:color w:val="000000"/>
          <w:szCs w:val="24"/>
          <w:u w:val="single" w:color="000000"/>
        </w:rPr>
        <w:t xml:space="preserve">        </w:t>
      </w:r>
      <w:r>
        <w:rPr>
          <w:rFonts w:hint="eastAsia" w:ascii="Times New Roman" w:hAnsi="Times New Roman"/>
          <w:color w:val="000000"/>
          <w:szCs w:val="24"/>
        </w:rPr>
        <w:t>年</w:t>
      </w:r>
      <w:r>
        <w:rPr>
          <w:rFonts w:hint="eastAsia" w:ascii="Times New Roman" w:hAnsi="Times New Roman"/>
          <w:color w:val="000000"/>
          <w:szCs w:val="24"/>
          <w:u w:val="single"/>
        </w:rPr>
        <w:t xml:space="preserve">       </w:t>
      </w:r>
      <w:r>
        <w:rPr>
          <w:rFonts w:hint="eastAsia" w:ascii="Times New Roman" w:hAnsi="Times New Roman"/>
          <w:color w:val="000000"/>
          <w:szCs w:val="24"/>
        </w:rPr>
        <w:t>月</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221"/>
        <w:gridCol w:w="1472"/>
        <w:gridCol w:w="1984"/>
        <w:gridCol w:w="1134"/>
        <w:gridCol w:w="1276"/>
        <w:gridCol w:w="1418"/>
        <w:gridCol w:w="1134"/>
        <w:gridCol w:w="1134"/>
        <w:gridCol w:w="1134"/>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序号</w:t>
            </w:r>
          </w:p>
        </w:tc>
        <w:tc>
          <w:tcPr>
            <w:tcW w:w="1221" w:type="dxa"/>
            <w:vAlign w:val="center"/>
          </w:tcPr>
          <w:p>
            <w:pPr>
              <w:jc w:val="center"/>
              <w:rPr>
                <w:rFonts w:ascii="Times New Roman" w:hAnsi="Times New Roman"/>
                <w:color w:val="000000"/>
                <w:szCs w:val="24"/>
              </w:rPr>
            </w:pPr>
            <w:r>
              <w:rPr>
                <w:rFonts w:hint="eastAsia" w:ascii="Times New Roman" w:hAnsi="Times New Roman"/>
                <w:color w:val="000000"/>
                <w:szCs w:val="24"/>
              </w:rPr>
              <w:t>故障时间</w:t>
            </w:r>
          </w:p>
        </w:tc>
        <w:tc>
          <w:tcPr>
            <w:tcW w:w="1472" w:type="dxa"/>
          </w:tcPr>
          <w:p>
            <w:pPr>
              <w:jc w:val="center"/>
              <w:rPr>
                <w:rFonts w:ascii="Times New Roman" w:hAnsi="Times New Roman"/>
                <w:color w:val="000000"/>
                <w:szCs w:val="24"/>
              </w:rPr>
            </w:pPr>
            <w:r>
              <w:rPr>
                <w:rFonts w:hint="eastAsia" w:ascii="Times New Roman" w:hAnsi="Times New Roman"/>
                <w:color w:val="000000"/>
                <w:szCs w:val="24"/>
              </w:rPr>
              <w:t>故障类型</w:t>
            </w:r>
          </w:p>
          <w:p>
            <w:pPr>
              <w:jc w:val="center"/>
              <w:rPr>
                <w:rFonts w:ascii="Times New Roman" w:hAnsi="Times New Roman"/>
                <w:color w:val="000000"/>
                <w:szCs w:val="24"/>
              </w:rPr>
            </w:pPr>
            <w:r>
              <w:rPr>
                <w:rFonts w:hint="eastAsia" w:ascii="Times New Roman" w:hAnsi="Times New Roman"/>
                <w:color w:val="000000"/>
                <w:szCs w:val="24"/>
              </w:rPr>
              <w:t>（一般故障或严重故障）</w:t>
            </w:r>
          </w:p>
        </w:tc>
        <w:tc>
          <w:tcPr>
            <w:tcW w:w="1984" w:type="dxa"/>
            <w:vAlign w:val="center"/>
          </w:tcPr>
          <w:p>
            <w:pPr>
              <w:jc w:val="center"/>
              <w:rPr>
                <w:rFonts w:ascii="Times New Roman" w:hAnsi="Times New Roman"/>
                <w:color w:val="000000"/>
                <w:szCs w:val="24"/>
              </w:rPr>
            </w:pPr>
            <w:r>
              <w:rPr>
                <w:rFonts w:hint="eastAsia" w:ascii="Times New Roman" w:hAnsi="Times New Roman"/>
                <w:color w:val="000000"/>
                <w:szCs w:val="24"/>
              </w:rPr>
              <w:t>故障情况</w:t>
            </w:r>
          </w:p>
        </w:tc>
        <w:tc>
          <w:tcPr>
            <w:tcW w:w="1134" w:type="dxa"/>
            <w:vAlign w:val="center"/>
          </w:tcPr>
          <w:p>
            <w:pPr>
              <w:jc w:val="center"/>
              <w:rPr>
                <w:rFonts w:ascii="Times New Roman" w:hAnsi="Times New Roman"/>
                <w:color w:val="000000"/>
                <w:szCs w:val="24"/>
              </w:rPr>
            </w:pPr>
            <w:r>
              <w:rPr>
                <w:rFonts w:hint="eastAsia" w:ascii="Times New Roman" w:hAnsi="Times New Roman"/>
                <w:color w:val="000000"/>
                <w:szCs w:val="24"/>
              </w:rPr>
              <w:t>值班人员反馈时间</w:t>
            </w:r>
          </w:p>
        </w:tc>
        <w:tc>
          <w:tcPr>
            <w:tcW w:w="1276" w:type="dxa"/>
            <w:vAlign w:val="center"/>
          </w:tcPr>
          <w:p>
            <w:pPr>
              <w:jc w:val="center"/>
              <w:rPr>
                <w:rFonts w:ascii="Times New Roman" w:hAnsi="Times New Roman"/>
                <w:color w:val="000000"/>
                <w:szCs w:val="24"/>
              </w:rPr>
            </w:pPr>
            <w:r>
              <w:rPr>
                <w:rFonts w:hint="eastAsia" w:ascii="Times New Roman" w:hAnsi="Times New Roman"/>
                <w:color w:val="000000"/>
                <w:szCs w:val="24"/>
              </w:rPr>
              <w:t>反馈人</w:t>
            </w:r>
          </w:p>
        </w:tc>
        <w:tc>
          <w:tcPr>
            <w:tcW w:w="1418" w:type="dxa"/>
            <w:vAlign w:val="center"/>
          </w:tcPr>
          <w:p>
            <w:pPr>
              <w:jc w:val="center"/>
              <w:rPr>
                <w:rFonts w:ascii="Times New Roman" w:hAnsi="Times New Roman"/>
                <w:color w:val="000000"/>
                <w:szCs w:val="24"/>
              </w:rPr>
            </w:pPr>
            <w:r>
              <w:rPr>
                <w:rFonts w:hint="eastAsia" w:ascii="Times New Roman" w:hAnsi="Times New Roman"/>
                <w:color w:val="000000"/>
                <w:szCs w:val="24"/>
              </w:rPr>
              <w:t>维保人员到场时间</w:t>
            </w:r>
          </w:p>
        </w:tc>
        <w:tc>
          <w:tcPr>
            <w:tcW w:w="1134" w:type="dxa"/>
            <w:tcBorders>
              <w:right w:val="single" w:color="auto" w:sz="4" w:space="0"/>
            </w:tcBorders>
            <w:vAlign w:val="center"/>
          </w:tcPr>
          <w:p>
            <w:pPr>
              <w:jc w:val="center"/>
              <w:rPr>
                <w:rFonts w:ascii="Times New Roman" w:hAnsi="Times New Roman"/>
                <w:color w:val="000000"/>
                <w:szCs w:val="24"/>
              </w:rPr>
            </w:pPr>
            <w:r>
              <w:rPr>
                <w:rFonts w:hint="eastAsia" w:ascii="Times New Roman" w:hAnsi="Times New Roman"/>
                <w:color w:val="000000"/>
                <w:szCs w:val="24"/>
              </w:rPr>
              <w:t>故障原因及处理方法</w:t>
            </w:r>
          </w:p>
        </w:tc>
        <w:tc>
          <w:tcPr>
            <w:tcW w:w="1134" w:type="dxa"/>
            <w:tcBorders>
              <w:left w:val="single" w:color="auto" w:sz="4" w:space="0"/>
            </w:tcBorders>
            <w:vAlign w:val="center"/>
          </w:tcPr>
          <w:p>
            <w:pPr>
              <w:jc w:val="center"/>
              <w:rPr>
                <w:rFonts w:ascii="Times New Roman" w:hAnsi="Times New Roman"/>
                <w:color w:val="000000"/>
                <w:szCs w:val="24"/>
              </w:rPr>
            </w:pPr>
            <w:r>
              <w:rPr>
                <w:rFonts w:hint="eastAsia" w:ascii="Times New Roman" w:hAnsi="Times New Roman"/>
                <w:color w:val="000000"/>
                <w:szCs w:val="24"/>
              </w:rPr>
              <w:t>处理结果</w:t>
            </w:r>
          </w:p>
        </w:tc>
        <w:tc>
          <w:tcPr>
            <w:tcW w:w="1134" w:type="dxa"/>
            <w:vAlign w:val="center"/>
          </w:tcPr>
          <w:p>
            <w:pPr>
              <w:jc w:val="center"/>
              <w:rPr>
                <w:rFonts w:ascii="Times New Roman" w:hAnsi="Times New Roman"/>
                <w:color w:val="000000"/>
                <w:szCs w:val="24"/>
              </w:rPr>
            </w:pPr>
            <w:r>
              <w:rPr>
                <w:rFonts w:hint="eastAsia" w:ascii="Times New Roman" w:hAnsi="Times New Roman"/>
                <w:color w:val="000000"/>
                <w:szCs w:val="24"/>
              </w:rPr>
              <w:t>处理完成时间</w:t>
            </w:r>
          </w:p>
        </w:tc>
        <w:tc>
          <w:tcPr>
            <w:tcW w:w="1559" w:type="dxa"/>
            <w:vAlign w:val="center"/>
          </w:tcPr>
          <w:p>
            <w:pPr>
              <w:jc w:val="center"/>
              <w:rPr>
                <w:rFonts w:ascii="Times New Roman" w:hAnsi="Times New Roman"/>
                <w:color w:val="000000"/>
                <w:szCs w:val="24"/>
              </w:rPr>
            </w:pPr>
            <w:r>
              <w:rPr>
                <w:rFonts w:hint="eastAsia" w:ascii="Times New Roman" w:hAnsi="Times New Roman"/>
                <w:color w:val="000000"/>
                <w:szCs w:val="24"/>
              </w:rPr>
              <w:t>维保人员确认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1</w:t>
            </w:r>
          </w:p>
        </w:tc>
        <w:tc>
          <w:tcPr>
            <w:tcW w:w="1221" w:type="dxa"/>
            <w:vAlign w:val="center"/>
          </w:tcPr>
          <w:p>
            <w:pPr>
              <w:jc w:val="center"/>
              <w:rPr>
                <w:rFonts w:ascii="Times New Roman" w:hAnsi="Times New Roman"/>
                <w:color w:val="000000"/>
                <w:szCs w:val="24"/>
              </w:rPr>
            </w:pPr>
          </w:p>
        </w:tc>
        <w:tc>
          <w:tcPr>
            <w:tcW w:w="1472" w:type="dxa"/>
            <w:vAlign w:val="center"/>
          </w:tcPr>
          <w:p>
            <w:pPr>
              <w:jc w:val="center"/>
              <w:rPr>
                <w:rFonts w:ascii="Times New Roman" w:hAnsi="Times New Roman"/>
                <w:color w:val="000000"/>
                <w:szCs w:val="24"/>
              </w:rPr>
            </w:pPr>
          </w:p>
        </w:tc>
        <w:tc>
          <w:tcPr>
            <w:tcW w:w="1984" w:type="dxa"/>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276" w:type="dxa"/>
            <w:vAlign w:val="center"/>
          </w:tcPr>
          <w:p>
            <w:pPr>
              <w:jc w:val="center"/>
              <w:rPr>
                <w:rFonts w:ascii="Times New Roman" w:hAnsi="Times New Roman"/>
                <w:color w:val="000000"/>
                <w:szCs w:val="24"/>
              </w:rPr>
            </w:pPr>
          </w:p>
        </w:tc>
        <w:tc>
          <w:tcPr>
            <w:tcW w:w="1418" w:type="dxa"/>
            <w:vAlign w:val="center"/>
          </w:tcPr>
          <w:p>
            <w:pPr>
              <w:jc w:val="center"/>
              <w:rPr>
                <w:rFonts w:ascii="Times New Roman" w:hAnsi="Times New Roman"/>
                <w:color w:val="000000"/>
                <w:szCs w:val="24"/>
              </w:rPr>
            </w:pPr>
          </w:p>
        </w:tc>
        <w:tc>
          <w:tcPr>
            <w:tcW w:w="1134" w:type="dxa"/>
            <w:tcBorders>
              <w:right w:val="single" w:color="auto" w:sz="4" w:space="0"/>
            </w:tcBorders>
            <w:vAlign w:val="center"/>
          </w:tcPr>
          <w:p>
            <w:pPr>
              <w:jc w:val="center"/>
              <w:rPr>
                <w:rFonts w:ascii="Times New Roman" w:hAnsi="Times New Roman"/>
                <w:color w:val="000000"/>
                <w:szCs w:val="24"/>
              </w:rPr>
            </w:pPr>
          </w:p>
        </w:tc>
        <w:tc>
          <w:tcPr>
            <w:tcW w:w="1134" w:type="dxa"/>
            <w:tcBorders>
              <w:left w:val="single" w:color="auto" w:sz="4" w:space="0"/>
            </w:tcBorders>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559"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2</w:t>
            </w:r>
          </w:p>
        </w:tc>
        <w:tc>
          <w:tcPr>
            <w:tcW w:w="1221" w:type="dxa"/>
            <w:vAlign w:val="center"/>
          </w:tcPr>
          <w:p>
            <w:pPr>
              <w:jc w:val="center"/>
              <w:rPr>
                <w:rFonts w:ascii="Times New Roman" w:hAnsi="Times New Roman"/>
                <w:color w:val="000000"/>
                <w:szCs w:val="24"/>
              </w:rPr>
            </w:pPr>
          </w:p>
        </w:tc>
        <w:tc>
          <w:tcPr>
            <w:tcW w:w="1472" w:type="dxa"/>
            <w:vAlign w:val="center"/>
          </w:tcPr>
          <w:p>
            <w:pPr>
              <w:jc w:val="center"/>
              <w:rPr>
                <w:rFonts w:ascii="Times New Roman" w:hAnsi="Times New Roman"/>
                <w:color w:val="000000"/>
                <w:szCs w:val="24"/>
              </w:rPr>
            </w:pPr>
          </w:p>
        </w:tc>
        <w:tc>
          <w:tcPr>
            <w:tcW w:w="1984" w:type="dxa"/>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276" w:type="dxa"/>
            <w:vAlign w:val="center"/>
          </w:tcPr>
          <w:p>
            <w:pPr>
              <w:jc w:val="center"/>
              <w:rPr>
                <w:rFonts w:ascii="Times New Roman" w:hAnsi="Times New Roman"/>
                <w:color w:val="000000"/>
                <w:szCs w:val="24"/>
              </w:rPr>
            </w:pPr>
          </w:p>
        </w:tc>
        <w:tc>
          <w:tcPr>
            <w:tcW w:w="1418" w:type="dxa"/>
            <w:vAlign w:val="center"/>
          </w:tcPr>
          <w:p>
            <w:pPr>
              <w:jc w:val="center"/>
              <w:rPr>
                <w:rFonts w:ascii="Times New Roman" w:hAnsi="Times New Roman"/>
                <w:color w:val="000000"/>
                <w:szCs w:val="24"/>
              </w:rPr>
            </w:pPr>
          </w:p>
        </w:tc>
        <w:tc>
          <w:tcPr>
            <w:tcW w:w="1134" w:type="dxa"/>
            <w:tcBorders>
              <w:right w:val="single" w:color="auto" w:sz="4" w:space="0"/>
            </w:tcBorders>
            <w:vAlign w:val="center"/>
          </w:tcPr>
          <w:p>
            <w:pPr>
              <w:jc w:val="center"/>
              <w:rPr>
                <w:rFonts w:ascii="Times New Roman" w:hAnsi="Times New Roman"/>
                <w:color w:val="000000"/>
                <w:szCs w:val="24"/>
              </w:rPr>
            </w:pPr>
          </w:p>
        </w:tc>
        <w:tc>
          <w:tcPr>
            <w:tcW w:w="1134" w:type="dxa"/>
            <w:tcBorders>
              <w:left w:val="single" w:color="auto" w:sz="4" w:space="0"/>
            </w:tcBorders>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559"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3</w:t>
            </w:r>
          </w:p>
        </w:tc>
        <w:tc>
          <w:tcPr>
            <w:tcW w:w="1221" w:type="dxa"/>
            <w:vAlign w:val="center"/>
          </w:tcPr>
          <w:p>
            <w:pPr>
              <w:jc w:val="center"/>
              <w:rPr>
                <w:rFonts w:ascii="Times New Roman" w:hAnsi="Times New Roman"/>
                <w:color w:val="000000"/>
                <w:szCs w:val="24"/>
              </w:rPr>
            </w:pPr>
          </w:p>
        </w:tc>
        <w:tc>
          <w:tcPr>
            <w:tcW w:w="1472" w:type="dxa"/>
            <w:vAlign w:val="center"/>
          </w:tcPr>
          <w:p>
            <w:pPr>
              <w:jc w:val="center"/>
              <w:rPr>
                <w:rFonts w:ascii="Times New Roman" w:hAnsi="Times New Roman"/>
                <w:color w:val="000000"/>
                <w:szCs w:val="24"/>
              </w:rPr>
            </w:pPr>
          </w:p>
        </w:tc>
        <w:tc>
          <w:tcPr>
            <w:tcW w:w="1984" w:type="dxa"/>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276" w:type="dxa"/>
            <w:vAlign w:val="center"/>
          </w:tcPr>
          <w:p>
            <w:pPr>
              <w:jc w:val="center"/>
              <w:rPr>
                <w:rFonts w:ascii="Times New Roman" w:hAnsi="Times New Roman"/>
                <w:color w:val="000000"/>
                <w:szCs w:val="24"/>
              </w:rPr>
            </w:pPr>
          </w:p>
        </w:tc>
        <w:tc>
          <w:tcPr>
            <w:tcW w:w="1418" w:type="dxa"/>
            <w:vAlign w:val="center"/>
          </w:tcPr>
          <w:p>
            <w:pPr>
              <w:jc w:val="center"/>
              <w:rPr>
                <w:rFonts w:ascii="Times New Roman" w:hAnsi="Times New Roman"/>
                <w:color w:val="000000"/>
                <w:szCs w:val="24"/>
              </w:rPr>
            </w:pPr>
          </w:p>
        </w:tc>
        <w:tc>
          <w:tcPr>
            <w:tcW w:w="1134" w:type="dxa"/>
            <w:tcBorders>
              <w:right w:val="single" w:color="auto" w:sz="4" w:space="0"/>
            </w:tcBorders>
            <w:vAlign w:val="center"/>
          </w:tcPr>
          <w:p>
            <w:pPr>
              <w:jc w:val="center"/>
              <w:rPr>
                <w:rFonts w:ascii="Times New Roman" w:hAnsi="Times New Roman"/>
                <w:color w:val="000000"/>
                <w:szCs w:val="24"/>
              </w:rPr>
            </w:pPr>
          </w:p>
        </w:tc>
        <w:tc>
          <w:tcPr>
            <w:tcW w:w="1134" w:type="dxa"/>
            <w:tcBorders>
              <w:left w:val="single" w:color="auto" w:sz="4" w:space="0"/>
            </w:tcBorders>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559"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4</w:t>
            </w:r>
          </w:p>
        </w:tc>
        <w:tc>
          <w:tcPr>
            <w:tcW w:w="1221" w:type="dxa"/>
            <w:vAlign w:val="center"/>
          </w:tcPr>
          <w:p>
            <w:pPr>
              <w:jc w:val="center"/>
              <w:rPr>
                <w:rFonts w:ascii="Times New Roman" w:hAnsi="Times New Roman"/>
                <w:color w:val="000000"/>
                <w:szCs w:val="24"/>
              </w:rPr>
            </w:pPr>
          </w:p>
        </w:tc>
        <w:tc>
          <w:tcPr>
            <w:tcW w:w="1472" w:type="dxa"/>
            <w:vAlign w:val="center"/>
          </w:tcPr>
          <w:p>
            <w:pPr>
              <w:jc w:val="center"/>
              <w:rPr>
                <w:rFonts w:ascii="Times New Roman" w:hAnsi="Times New Roman"/>
                <w:color w:val="000000"/>
                <w:szCs w:val="24"/>
              </w:rPr>
            </w:pPr>
          </w:p>
        </w:tc>
        <w:tc>
          <w:tcPr>
            <w:tcW w:w="1984" w:type="dxa"/>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276" w:type="dxa"/>
            <w:vAlign w:val="center"/>
          </w:tcPr>
          <w:p>
            <w:pPr>
              <w:jc w:val="center"/>
              <w:rPr>
                <w:rFonts w:ascii="Times New Roman" w:hAnsi="Times New Roman"/>
                <w:color w:val="000000"/>
                <w:szCs w:val="24"/>
              </w:rPr>
            </w:pPr>
          </w:p>
        </w:tc>
        <w:tc>
          <w:tcPr>
            <w:tcW w:w="1418" w:type="dxa"/>
            <w:vAlign w:val="center"/>
          </w:tcPr>
          <w:p>
            <w:pPr>
              <w:jc w:val="center"/>
              <w:rPr>
                <w:rFonts w:ascii="Times New Roman" w:hAnsi="Times New Roman"/>
                <w:color w:val="000000"/>
                <w:szCs w:val="24"/>
              </w:rPr>
            </w:pPr>
          </w:p>
        </w:tc>
        <w:tc>
          <w:tcPr>
            <w:tcW w:w="1134" w:type="dxa"/>
            <w:tcBorders>
              <w:right w:val="single" w:color="auto" w:sz="4" w:space="0"/>
            </w:tcBorders>
            <w:vAlign w:val="center"/>
          </w:tcPr>
          <w:p>
            <w:pPr>
              <w:jc w:val="center"/>
              <w:rPr>
                <w:rFonts w:ascii="Times New Roman" w:hAnsi="Times New Roman"/>
                <w:color w:val="000000"/>
                <w:szCs w:val="24"/>
              </w:rPr>
            </w:pPr>
          </w:p>
        </w:tc>
        <w:tc>
          <w:tcPr>
            <w:tcW w:w="1134" w:type="dxa"/>
            <w:tcBorders>
              <w:left w:val="single" w:color="auto" w:sz="4" w:space="0"/>
            </w:tcBorders>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559"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5</w:t>
            </w:r>
          </w:p>
        </w:tc>
        <w:tc>
          <w:tcPr>
            <w:tcW w:w="1221" w:type="dxa"/>
            <w:vAlign w:val="center"/>
          </w:tcPr>
          <w:p>
            <w:pPr>
              <w:jc w:val="center"/>
              <w:rPr>
                <w:rFonts w:ascii="Times New Roman" w:hAnsi="Times New Roman"/>
                <w:color w:val="000000"/>
                <w:szCs w:val="24"/>
              </w:rPr>
            </w:pPr>
          </w:p>
        </w:tc>
        <w:tc>
          <w:tcPr>
            <w:tcW w:w="1472" w:type="dxa"/>
            <w:vAlign w:val="center"/>
          </w:tcPr>
          <w:p>
            <w:pPr>
              <w:jc w:val="center"/>
              <w:rPr>
                <w:rFonts w:ascii="Times New Roman" w:hAnsi="Times New Roman"/>
                <w:color w:val="000000"/>
                <w:szCs w:val="24"/>
              </w:rPr>
            </w:pPr>
          </w:p>
        </w:tc>
        <w:tc>
          <w:tcPr>
            <w:tcW w:w="1984" w:type="dxa"/>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276" w:type="dxa"/>
            <w:vAlign w:val="center"/>
          </w:tcPr>
          <w:p>
            <w:pPr>
              <w:jc w:val="center"/>
              <w:rPr>
                <w:rFonts w:ascii="Times New Roman" w:hAnsi="Times New Roman"/>
                <w:color w:val="000000"/>
                <w:szCs w:val="24"/>
              </w:rPr>
            </w:pPr>
          </w:p>
        </w:tc>
        <w:tc>
          <w:tcPr>
            <w:tcW w:w="1418" w:type="dxa"/>
            <w:vAlign w:val="center"/>
          </w:tcPr>
          <w:p>
            <w:pPr>
              <w:jc w:val="center"/>
              <w:rPr>
                <w:rFonts w:ascii="Times New Roman" w:hAnsi="Times New Roman"/>
                <w:color w:val="000000"/>
                <w:szCs w:val="24"/>
              </w:rPr>
            </w:pPr>
          </w:p>
        </w:tc>
        <w:tc>
          <w:tcPr>
            <w:tcW w:w="1134" w:type="dxa"/>
            <w:tcBorders>
              <w:right w:val="single" w:color="auto" w:sz="4" w:space="0"/>
            </w:tcBorders>
            <w:vAlign w:val="center"/>
          </w:tcPr>
          <w:p>
            <w:pPr>
              <w:jc w:val="center"/>
              <w:rPr>
                <w:rFonts w:ascii="Times New Roman" w:hAnsi="Times New Roman"/>
                <w:color w:val="000000"/>
                <w:szCs w:val="24"/>
              </w:rPr>
            </w:pPr>
          </w:p>
        </w:tc>
        <w:tc>
          <w:tcPr>
            <w:tcW w:w="1134" w:type="dxa"/>
            <w:tcBorders>
              <w:left w:val="single" w:color="auto" w:sz="4" w:space="0"/>
            </w:tcBorders>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559"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6</w:t>
            </w:r>
          </w:p>
        </w:tc>
        <w:tc>
          <w:tcPr>
            <w:tcW w:w="1221" w:type="dxa"/>
            <w:vAlign w:val="center"/>
          </w:tcPr>
          <w:p>
            <w:pPr>
              <w:jc w:val="center"/>
              <w:rPr>
                <w:rFonts w:ascii="Times New Roman" w:hAnsi="Times New Roman"/>
                <w:color w:val="000000"/>
                <w:szCs w:val="24"/>
              </w:rPr>
            </w:pPr>
          </w:p>
        </w:tc>
        <w:tc>
          <w:tcPr>
            <w:tcW w:w="1472" w:type="dxa"/>
            <w:vAlign w:val="center"/>
          </w:tcPr>
          <w:p>
            <w:pPr>
              <w:jc w:val="center"/>
              <w:rPr>
                <w:rFonts w:ascii="Times New Roman" w:hAnsi="Times New Roman"/>
                <w:color w:val="000000"/>
                <w:szCs w:val="24"/>
              </w:rPr>
            </w:pPr>
          </w:p>
        </w:tc>
        <w:tc>
          <w:tcPr>
            <w:tcW w:w="1984" w:type="dxa"/>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276" w:type="dxa"/>
            <w:vAlign w:val="center"/>
          </w:tcPr>
          <w:p>
            <w:pPr>
              <w:jc w:val="center"/>
              <w:rPr>
                <w:rFonts w:ascii="Times New Roman" w:hAnsi="Times New Roman"/>
                <w:color w:val="000000"/>
                <w:szCs w:val="24"/>
              </w:rPr>
            </w:pPr>
          </w:p>
        </w:tc>
        <w:tc>
          <w:tcPr>
            <w:tcW w:w="1418" w:type="dxa"/>
            <w:vAlign w:val="center"/>
          </w:tcPr>
          <w:p>
            <w:pPr>
              <w:jc w:val="center"/>
              <w:rPr>
                <w:rFonts w:ascii="Times New Roman" w:hAnsi="Times New Roman"/>
                <w:color w:val="000000"/>
                <w:szCs w:val="24"/>
              </w:rPr>
            </w:pPr>
          </w:p>
        </w:tc>
        <w:tc>
          <w:tcPr>
            <w:tcW w:w="1134" w:type="dxa"/>
            <w:tcBorders>
              <w:right w:val="single" w:color="auto" w:sz="4" w:space="0"/>
            </w:tcBorders>
            <w:vAlign w:val="center"/>
          </w:tcPr>
          <w:p>
            <w:pPr>
              <w:jc w:val="center"/>
              <w:rPr>
                <w:rFonts w:ascii="Times New Roman" w:hAnsi="Times New Roman"/>
                <w:color w:val="000000"/>
                <w:szCs w:val="24"/>
              </w:rPr>
            </w:pPr>
          </w:p>
        </w:tc>
        <w:tc>
          <w:tcPr>
            <w:tcW w:w="1134" w:type="dxa"/>
            <w:tcBorders>
              <w:left w:val="single" w:color="auto" w:sz="4" w:space="0"/>
            </w:tcBorders>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559"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7</w:t>
            </w:r>
          </w:p>
        </w:tc>
        <w:tc>
          <w:tcPr>
            <w:tcW w:w="1221" w:type="dxa"/>
            <w:vAlign w:val="center"/>
          </w:tcPr>
          <w:p>
            <w:pPr>
              <w:jc w:val="center"/>
              <w:rPr>
                <w:rFonts w:ascii="Times New Roman" w:hAnsi="Times New Roman"/>
                <w:color w:val="000000"/>
                <w:szCs w:val="24"/>
              </w:rPr>
            </w:pPr>
          </w:p>
        </w:tc>
        <w:tc>
          <w:tcPr>
            <w:tcW w:w="1472" w:type="dxa"/>
            <w:vAlign w:val="center"/>
          </w:tcPr>
          <w:p>
            <w:pPr>
              <w:jc w:val="center"/>
              <w:rPr>
                <w:rFonts w:ascii="Times New Roman" w:hAnsi="Times New Roman"/>
                <w:color w:val="000000"/>
                <w:szCs w:val="24"/>
              </w:rPr>
            </w:pPr>
          </w:p>
        </w:tc>
        <w:tc>
          <w:tcPr>
            <w:tcW w:w="1984" w:type="dxa"/>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276" w:type="dxa"/>
            <w:vAlign w:val="center"/>
          </w:tcPr>
          <w:p>
            <w:pPr>
              <w:jc w:val="center"/>
              <w:rPr>
                <w:rFonts w:ascii="Times New Roman" w:hAnsi="Times New Roman"/>
                <w:color w:val="000000"/>
                <w:szCs w:val="24"/>
              </w:rPr>
            </w:pPr>
          </w:p>
        </w:tc>
        <w:tc>
          <w:tcPr>
            <w:tcW w:w="1418" w:type="dxa"/>
            <w:vAlign w:val="center"/>
          </w:tcPr>
          <w:p>
            <w:pPr>
              <w:jc w:val="center"/>
              <w:rPr>
                <w:rFonts w:ascii="Times New Roman" w:hAnsi="Times New Roman"/>
                <w:color w:val="000000"/>
                <w:szCs w:val="24"/>
              </w:rPr>
            </w:pPr>
          </w:p>
        </w:tc>
        <w:tc>
          <w:tcPr>
            <w:tcW w:w="1134" w:type="dxa"/>
            <w:tcBorders>
              <w:right w:val="single" w:color="auto" w:sz="4" w:space="0"/>
            </w:tcBorders>
            <w:vAlign w:val="center"/>
          </w:tcPr>
          <w:p>
            <w:pPr>
              <w:jc w:val="center"/>
              <w:rPr>
                <w:rFonts w:ascii="Times New Roman" w:hAnsi="Times New Roman"/>
                <w:color w:val="000000"/>
                <w:szCs w:val="24"/>
              </w:rPr>
            </w:pPr>
          </w:p>
        </w:tc>
        <w:tc>
          <w:tcPr>
            <w:tcW w:w="1134" w:type="dxa"/>
            <w:tcBorders>
              <w:left w:val="single" w:color="auto" w:sz="4" w:space="0"/>
            </w:tcBorders>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559"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8</w:t>
            </w:r>
          </w:p>
        </w:tc>
        <w:tc>
          <w:tcPr>
            <w:tcW w:w="1221" w:type="dxa"/>
            <w:vAlign w:val="center"/>
          </w:tcPr>
          <w:p>
            <w:pPr>
              <w:jc w:val="center"/>
              <w:rPr>
                <w:rFonts w:ascii="Times New Roman" w:hAnsi="Times New Roman"/>
                <w:color w:val="000000"/>
                <w:szCs w:val="24"/>
              </w:rPr>
            </w:pPr>
          </w:p>
        </w:tc>
        <w:tc>
          <w:tcPr>
            <w:tcW w:w="1472" w:type="dxa"/>
            <w:vAlign w:val="center"/>
          </w:tcPr>
          <w:p>
            <w:pPr>
              <w:jc w:val="center"/>
              <w:rPr>
                <w:rFonts w:ascii="Times New Roman" w:hAnsi="Times New Roman"/>
                <w:color w:val="000000"/>
                <w:szCs w:val="24"/>
              </w:rPr>
            </w:pPr>
          </w:p>
        </w:tc>
        <w:tc>
          <w:tcPr>
            <w:tcW w:w="1984" w:type="dxa"/>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276" w:type="dxa"/>
            <w:vAlign w:val="center"/>
          </w:tcPr>
          <w:p>
            <w:pPr>
              <w:jc w:val="center"/>
              <w:rPr>
                <w:rFonts w:ascii="Times New Roman" w:hAnsi="Times New Roman"/>
                <w:color w:val="000000"/>
                <w:szCs w:val="24"/>
              </w:rPr>
            </w:pPr>
          </w:p>
        </w:tc>
        <w:tc>
          <w:tcPr>
            <w:tcW w:w="1418" w:type="dxa"/>
            <w:vAlign w:val="center"/>
          </w:tcPr>
          <w:p>
            <w:pPr>
              <w:jc w:val="center"/>
              <w:rPr>
                <w:rFonts w:ascii="Times New Roman" w:hAnsi="Times New Roman"/>
                <w:color w:val="000000"/>
                <w:szCs w:val="24"/>
              </w:rPr>
            </w:pPr>
          </w:p>
        </w:tc>
        <w:tc>
          <w:tcPr>
            <w:tcW w:w="1134" w:type="dxa"/>
            <w:tcBorders>
              <w:right w:val="single" w:color="auto" w:sz="4" w:space="0"/>
            </w:tcBorders>
            <w:vAlign w:val="center"/>
          </w:tcPr>
          <w:p>
            <w:pPr>
              <w:jc w:val="center"/>
              <w:rPr>
                <w:rFonts w:ascii="Times New Roman" w:hAnsi="Times New Roman"/>
                <w:color w:val="000000"/>
                <w:szCs w:val="24"/>
              </w:rPr>
            </w:pPr>
          </w:p>
        </w:tc>
        <w:tc>
          <w:tcPr>
            <w:tcW w:w="1134" w:type="dxa"/>
            <w:tcBorders>
              <w:left w:val="single" w:color="auto" w:sz="4" w:space="0"/>
            </w:tcBorders>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559"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9</w:t>
            </w:r>
          </w:p>
        </w:tc>
        <w:tc>
          <w:tcPr>
            <w:tcW w:w="1221" w:type="dxa"/>
            <w:vAlign w:val="center"/>
          </w:tcPr>
          <w:p>
            <w:pPr>
              <w:jc w:val="center"/>
              <w:rPr>
                <w:rFonts w:ascii="Times New Roman" w:hAnsi="Times New Roman"/>
                <w:color w:val="000000"/>
                <w:szCs w:val="24"/>
              </w:rPr>
            </w:pPr>
          </w:p>
        </w:tc>
        <w:tc>
          <w:tcPr>
            <w:tcW w:w="1472" w:type="dxa"/>
            <w:vAlign w:val="center"/>
          </w:tcPr>
          <w:p>
            <w:pPr>
              <w:jc w:val="center"/>
              <w:rPr>
                <w:rFonts w:ascii="Times New Roman" w:hAnsi="Times New Roman"/>
                <w:color w:val="000000"/>
                <w:szCs w:val="24"/>
              </w:rPr>
            </w:pPr>
          </w:p>
        </w:tc>
        <w:tc>
          <w:tcPr>
            <w:tcW w:w="1984" w:type="dxa"/>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276" w:type="dxa"/>
            <w:vAlign w:val="center"/>
          </w:tcPr>
          <w:p>
            <w:pPr>
              <w:jc w:val="center"/>
              <w:rPr>
                <w:rFonts w:ascii="Times New Roman" w:hAnsi="Times New Roman"/>
                <w:color w:val="000000"/>
                <w:szCs w:val="24"/>
              </w:rPr>
            </w:pPr>
          </w:p>
        </w:tc>
        <w:tc>
          <w:tcPr>
            <w:tcW w:w="1418" w:type="dxa"/>
            <w:vAlign w:val="center"/>
          </w:tcPr>
          <w:p>
            <w:pPr>
              <w:jc w:val="center"/>
              <w:rPr>
                <w:rFonts w:ascii="Times New Roman" w:hAnsi="Times New Roman"/>
                <w:color w:val="000000"/>
                <w:szCs w:val="24"/>
              </w:rPr>
            </w:pPr>
          </w:p>
        </w:tc>
        <w:tc>
          <w:tcPr>
            <w:tcW w:w="1134" w:type="dxa"/>
            <w:tcBorders>
              <w:right w:val="single" w:color="auto" w:sz="4" w:space="0"/>
            </w:tcBorders>
            <w:vAlign w:val="center"/>
          </w:tcPr>
          <w:p>
            <w:pPr>
              <w:jc w:val="center"/>
              <w:rPr>
                <w:rFonts w:ascii="Times New Roman" w:hAnsi="Times New Roman"/>
                <w:color w:val="000000"/>
                <w:szCs w:val="24"/>
              </w:rPr>
            </w:pPr>
          </w:p>
        </w:tc>
        <w:tc>
          <w:tcPr>
            <w:tcW w:w="1134" w:type="dxa"/>
            <w:tcBorders>
              <w:left w:val="single" w:color="auto" w:sz="4" w:space="0"/>
            </w:tcBorders>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559"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4" w:type="dxa"/>
            <w:vAlign w:val="center"/>
          </w:tcPr>
          <w:p>
            <w:pPr>
              <w:jc w:val="center"/>
              <w:rPr>
                <w:rFonts w:ascii="Times New Roman" w:hAnsi="Times New Roman"/>
                <w:color w:val="000000"/>
                <w:szCs w:val="24"/>
              </w:rPr>
            </w:pPr>
            <w:r>
              <w:rPr>
                <w:rFonts w:hint="eastAsia" w:ascii="Times New Roman" w:hAnsi="Times New Roman"/>
                <w:color w:val="000000"/>
                <w:szCs w:val="24"/>
              </w:rPr>
              <w:t>10</w:t>
            </w:r>
          </w:p>
        </w:tc>
        <w:tc>
          <w:tcPr>
            <w:tcW w:w="1221" w:type="dxa"/>
            <w:vAlign w:val="center"/>
          </w:tcPr>
          <w:p>
            <w:pPr>
              <w:jc w:val="center"/>
              <w:rPr>
                <w:rFonts w:ascii="Times New Roman" w:hAnsi="Times New Roman"/>
                <w:color w:val="000000"/>
                <w:szCs w:val="24"/>
              </w:rPr>
            </w:pPr>
          </w:p>
        </w:tc>
        <w:tc>
          <w:tcPr>
            <w:tcW w:w="1472" w:type="dxa"/>
            <w:vAlign w:val="center"/>
          </w:tcPr>
          <w:p>
            <w:pPr>
              <w:jc w:val="center"/>
              <w:rPr>
                <w:rFonts w:ascii="Times New Roman" w:hAnsi="Times New Roman"/>
                <w:color w:val="000000"/>
                <w:szCs w:val="24"/>
              </w:rPr>
            </w:pPr>
          </w:p>
        </w:tc>
        <w:tc>
          <w:tcPr>
            <w:tcW w:w="1984" w:type="dxa"/>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276" w:type="dxa"/>
            <w:vAlign w:val="center"/>
          </w:tcPr>
          <w:p>
            <w:pPr>
              <w:jc w:val="center"/>
              <w:rPr>
                <w:rFonts w:ascii="Times New Roman" w:hAnsi="Times New Roman"/>
                <w:color w:val="000000"/>
                <w:szCs w:val="24"/>
              </w:rPr>
            </w:pPr>
          </w:p>
        </w:tc>
        <w:tc>
          <w:tcPr>
            <w:tcW w:w="1418" w:type="dxa"/>
            <w:vAlign w:val="center"/>
          </w:tcPr>
          <w:p>
            <w:pPr>
              <w:jc w:val="center"/>
              <w:rPr>
                <w:rFonts w:ascii="Times New Roman" w:hAnsi="Times New Roman"/>
                <w:color w:val="000000"/>
                <w:szCs w:val="24"/>
              </w:rPr>
            </w:pPr>
          </w:p>
        </w:tc>
        <w:tc>
          <w:tcPr>
            <w:tcW w:w="1134" w:type="dxa"/>
            <w:tcBorders>
              <w:right w:val="single" w:color="auto" w:sz="4" w:space="0"/>
            </w:tcBorders>
            <w:vAlign w:val="center"/>
          </w:tcPr>
          <w:p>
            <w:pPr>
              <w:jc w:val="center"/>
              <w:rPr>
                <w:rFonts w:ascii="Times New Roman" w:hAnsi="Times New Roman"/>
                <w:color w:val="000000"/>
                <w:szCs w:val="24"/>
              </w:rPr>
            </w:pPr>
          </w:p>
        </w:tc>
        <w:tc>
          <w:tcPr>
            <w:tcW w:w="1134" w:type="dxa"/>
            <w:tcBorders>
              <w:left w:val="single" w:color="auto" w:sz="4" w:space="0"/>
            </w:tcBorders>
            <w:vAlign w:val="center"/>
          </w:tcPr>
          <w:p>
            <w:pPr>
              <w:jc w:val="center"/>
              <w:rPr>
                <w:rFonts w:ascii="Times New Roman" w:hAnsi="Times New Roman"/>
                <w:color w:val="000000"/>
                <w:szCs w:val="24"/>
              </w:rPr>
            </w:pPr>
          </w:p>
        </w:tc>
        <w:tc>
          <w:tcPr>
            <w:tcW w:w="1134" w:type="dxa"/>
            <w:vAlign w:val="center"/>
          </w:tcPr>
          <w:p>
            <w:pPr>
              <w:jc w:val="center"/>
              <w:rPr>
                <w:rFonts w:ascii="Times New Roman" w:hAnsi="Times New Roman"/>
                <w:color w:val="000000"/>
                <w:szCs w:val="24"/>
              </w:rPr>
            </w:pPr>
          </w:p>
        </w:tc>
        <w:tc>
          <w:tcPr>
            <w:tcW w:w="1559" w:type="dxa"/>
            <w:vAlign w:val="center"/>
          </w:tcPr>
          <w:p>
            <w:pPr>
              <w:jc w:val="center"/>
              <w:rPr>
                <w:rFonts w:ascii="Times New Roman" w:hAnsi="Times New Roman"/>
                <w:color w:val="000000"/>
                <w:szCs w:val="24"/>
              </w:rPr>
            </w:pPr>
          </w:p>
        </w:tc>
      </w:tr>
    </w:tbl>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szCs w:val="24"/>
        </w:rPr>
      </w:pPr>
      <w:r>
        <w:rPr>
          <w:rFonts w:hint="eastAsia" w:ascii="Times New Roman" w:hAnsi="Times New Roman"/>
          <w:color w:val="000000"/>
        </w:rPr>
        <w:t>附表二</w:t>
      </w:r>
      <w:r>
        <w:rPr>
          <w:rFonts w:hint="eastAsia" w:ascii="Times New Roman" w:hAnsi="Times New Roman"/>
          <w:b/>
          <w:color w:val="000000"/>
        </w:rPr>
        <w:t xml:space="preserve">                                               </w:t>
      </w:r>
      <w:r>
        <w:rPr>
          <w:rFonts w:hint="eastAsia" w:ascii="Times New Roman" w:hAnsi="Times New Roman"/>
          <w:b/>
          <w:color w:val="000000"/>
          <w:szCs w:val="24"/>
        </w:rPr>
        <w:t>消防系统维保月度抽查情况表</w:t>
      </w:r>
    </w:p>
    <w:p>
      <w:pPr>
        <w:ind w:firstLine="10395" w:firstLineChars="4950"/>
        <w:rPr>
          <w:rFonts w:ascii="Times New Roman" w:hAnsi="Times New Roman"/>
          <w:color w:val="000000"/>
          <w:szCs w:val="24"/>
        </w:rPr>
      </w:pPr>
      <w:r>
        <w:rPr>
          <w:rFonts w:hint="eastAsia" w:ascii="Times New Roman" w:hAnsi="Times New Roman"/>
          <w:color w:val="000000"/>
          <w:szCs w:val="24"/>
        </w:rPr>
        <w:t>维保单位：</w:t>
      </w:r>
      <w:r>
        <w:rPr>
          <w:rFonts w:hint="eastAsia" w:ascii="Times New Roman" w:hAnsi="Times New Roman"/>
          <w:color w:val="000000"/>
          <w:szCs w:val="24"/>
          <w:u w:val="single"/>
        </w:rPr>
        <w:t xml:space="preserve">                   </w:t>
      </w:r>
    </w:p>
    <w:p>
      <w:pPr>
        <w:ind w:firstLine="10395" w:firstLineChars="4950"/>
        <w:rPr>
          <w:rFonts w:ascii="Times New Roman" w:hAnsi="Times New Roman"/>
          <w:color w:val="000000"/>
          <w:szCs w:val="24"/>
        </w:rPr>
      </w:pPr>
      <w:r>
        <w:rPr>
          <w:rFonts w:hint="eastAsia" w:ascii="Times New Roman" w:hAnsi="Times New Roman"/>
          <w:color w:val="000000"/>
          <w:szCs w:val="24"/>
        </w:rPr>
        <w:t>维保时间：</w:t>
      </w:r>
      <w:r>
        <w:rPr>
          <w:rFonts w:hint="eastAsia" w:ascii="Times New Roman" w:hAnsi="Times New Roman"/>
          <w:color w:val="000000"/>
          <w:szCs w:val="24"/>
          <w:u w:val="single"/>
        </w:rPr>
        <w:t xml:space="preserve">        </w:t>
      </w:r>
      <w:r>
        <w:rPr>
          <w:rFonts w:hint="eastAsia" w:ascii="Times New Roman" w:hAnsi="Times New Roman"/>
          <w:color w:val="000000"/>
          <w:szCs w:val="24"/>
        </w:rPr>
        <w:t>年</w:t>
      </w:r>
      <w:r>
        <w:rPr>
          <w:rFonts w:hint="eastAsia" w:ascii="Times New Roman" w:hAnsi="Times New Roman"/>
          <w:color w:val="000000"/>
          <w:szCs w:val="24"/>
          <w:u w:val="single"/>
        </w:rPr>
        <w:t xml:space="preserve">       </w:t>
      </w:r>
      <w:r>
        <w:rPr>
          <w:rFonts w:hint="eastAsia" w:ascii="Times New Roman" w:hAnsi="Times New Roman"/>
          <w:color w:val="000000"/>
          <w:szCs w:val="24"/>
        </w:rPr>
        <w:t>月</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842"/>
        <w:gridCol w:w="2835"/>
        <w:gridCol w:w="3670"/>
        <w:gridCol w:w="2426"/>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jc w:val="center"/>
              <w:rPr>
                <w:rFonts w:ascii="Times New Roman" w:hAnsi="Times New Roman"/>
                <w:color w:val="000000"/>
                <w:szCs w:val="24"/>
              </w:rPr>
            </w:pPr>
            <w:r>
              <w:rPr>
                <w:rFonts w:hint="eastAsia" w:ascii="Times New Roman" w:hAnsi="Times New Roman"/>
                <w:color w:val="000000"/>
                <w:szCs w:val="24"/>
              </w:rPr>
              <w:t>序号</w:t>
            </w:r>
          </w:p>
        </w:tc>
        <w:tc>
          <w:tcPr>
            <w:tcW w:w="1842" w:type="dxa"/>
            <w:vAlign w:val="center"/>
          </w:tcPr>
          <w:p>
            <w:pPr>
              <w:jc w:val="center"/>
              <w:rPr>
                <w:rFonts w:ascii="Times New Roman" w:hAnsi="Times New Roman"/>
                <w:color w:val="000000"/>
                <w:szCs w:val="24"/>
              </w:rPr>
            </w:pPr>
            <w:r>
              <w:rPr>
                <w:rFonts w:hint="eastAsia" w:ascii="Times New Roman" w:hAnsi="Times New Roman"/>
                <w:color w:val="000000"/>
                <w:szCs w:val="24"/>
              </w:rPr>
              <w:t>抽查时间</w:t>
            </w:r>
          </w:p>
        </w:tc>
        <w:tc>
          <w:tcPr>
            <w:tcW w:w="2835" w:type="dxa"/>
            <w:vAlign w:val="center"/>
          </w:tcPr>
          <w:p>
            <w:pPr>
              <w:jc w:val="center"/>
              <w:rPr>
                <w:rFonts w:ascii="Times New Roman" w:hAnsi="Times New Roman"/>
                <w:color w:val="000000"/>
                <w:szCs w:val="24"/>
              </w:rPr>
            </w:pPr>
            <w:r>
              <w:rPr>
                <w:rFonts w:hint="eastAsia" w:ascii="Times New Roman" w:hAnsi="Times New Roman"/>
                <w:color w:val="000000"/>
                <w:szCs w:val="24"/>
              </w:rPr>
              <w:t>抽查对象（含设备具体点位）</w:t>
            </w:r>
          </w:p>
        </w:tc>
        <w:tc>
          <w:tcPr>
            <w:tcW w:w="3670" w:type="dxa"/>
            <w:vAlign w:val="center"/>
          </w:tcPr>
          <w:p>
            <w:pPr>
              <w:jc w:val="center"/>
              <w:rPr>
                <w:rFonts w:ascii="Times New Roman" w:hAnsi="Times New Roman"/>
                <w:color w:val="000000"/>
                <w:szCs w:val="24"/>
              </w:rPr>
            </w:pPr>
            <w:r>
              <w:rPr>
                <w:rFonts w:hint="eastAsia" w:ascii="Times New Roman" w:hAnsi="Times New Roman"/>
                <w:color w:val="000000"/>
                <w:szCs w:val="24"/>
              </w:rPr>
              <w:t>抽查情况（描述设备工作情况、清洁维护情况）</w:t>
            </w:r>
          </w:p>
        </w:tc>
        <w:tc>
          <w:tcPr>
            <w:tcW w:w="2426" w:type="dxa"/>
            <w:vAlign w:val="center"/>
          </w:tcPr>
          <w:p>
            <w:pPr>
              <w:jc w:val="center"/>
              <w:rPr>
                <w:rFonts w:ascii="Times New Roman" w:hAnsi="Times New Roman"/>
                <w:color w:val="000000"/>
                <w:szCs w:val="24"/>
              </w:rPr>
            </w:pPr>
            <w:r>
              <w:rPr>
                <w:rFonts w:hint="eastAsia" w:ascii="Times New Roman" w:hAnsi="Times New Roman"/>
                <w:color w:val="000000"/>
                <w:szCs w:val="24"/>
              </w:rPr>
              <w:t>抽查人</w:t>
            </w:r>
          </w:p>
        </w:tc>
        <w:tc>
          <w:tcPr>
            <w:tcW w:w="1842" w:type="dxa"/>
            <w:vAlign w:val="center"/>
          </w:tcPr>
          <w:p>
            <w:pPr>
              <w:jc w:val="center"/>
              <w:rPr>
                <w:rFonts w:ascii="Times New Roman" w:hAnsi="Times New Roman"/>
                <w:color w:val="000000"/>
                <w:szCs w:val="24"/>
              </w:rPr>
            </w:pPr>
            <w:r>
              <w:rPr>
                <w:rFonts w:hint="eastAsia" w:ascii="Times New Roman" w:hAnsi="Times New Roman"/>
                <w:color w:val="000000"/>
                <w:szCs w:val="24"/>
              </w:rPr>
              <w:t>维保人员确认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imes New Roman" w:hAnsi="Times New Roman"/>
                <w:color w:val="000000"/>
                <w:szCs w:val="24"/>
              </w:rPr>
            </w:pPr>
            <w:r>
              <w:rPr>
                <w:rFonts w:hint="eastAsia" w:ascii="Times New Roman" w:hAnsi="Times New Roman"/>
                <w:color w:val="000000"/>
                <w:szCs w:val="24"/>
              </w:rPr>
              <w:t>1</w:t>
            </w:r>
          </w:p>
        </w:tc>
        <w:tc>
          <w:tcPr>
            <w:tcW w:w="1842" w:type="dxa"/>
            <w:vAlign w:val="center"/>
          </w:tcPr>
          <w:p>
            <w:pPr>
              <w:jc w:val="center"/>
              <w:rPr>
                <w:rFonts w:ascii="Times New Roman" w:hAnsi="Times New Roman"/>
                <w:color w:val="000000"/>
                <w:szCs w:val="24"/>
              </w:rPr>
            </w:pPr>
          </w:p>
        </w:tc>
        <w:tc>
          <w:tcPr>
            <w:tcW w:w="2835" w:type="dxa"/>
            <w:vAlign w:val="center"/>
          </w:tcPr>
          <w:p>
            <w:pPr>
              <w:jc w:val="center"/>
              <w:rPr>
                <w:rFonts w:ascii="Times New Roman" w:hAnsi="Times New Roman"/>
                <w:color w:val="000000"/>
                <w:szCs w:val="24"/>
              </w:rPr>
            </w:pPr>
          </w:p>
        </w:tc>
        <w:tc>
          <w:tcPr>
            <w:tcW w:w="3670" w:type="dxa"/>
            <w:vAlign w:val="center"/>
          </w:tcPr>
          <w:p>
            <w:pPr>
              <w:jc w:val="center"/>
              <w:rPr>
                <w:rFonts w:ascii="Times New Roman" w:hAnsi="Times New Roman"/>
                <w:color w:val="000000"/>
                <w:szCs w:val="24"/>
              </w:rPr>
            </w:pPr>
          </w:p>
        </w:tc>
        <w:tc>
          <w:tcPr>
            <w:tcW w:w="2426" w:type="dxa"/>
            <w:vAlign w:val="center"/>
          </w:tcPr>
          <w:p>
            <w:pPr>
              <w:jc w:val="center"/>
              <w:rPr>
                <w:rFonts w:ascii="Times New Roman" w:hAnsi="Times New Roman"/>
                <w:color w:val="000000"/>
                <w:szCs w:val="24"/>
              </w:rPr>
            </w:pPr>
          </w:p>
        </w:tc>
        <w:tc>
          <w:tcPr>
            <w:tcW w:w="1842"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imes New Roman" w:hAnsi="Times New Roman"/>
                <w:color w:val="000000"/>
                <w:szCs w:val="24"/>
              </w:rPr>
            </w:pPr>
            <w:r>
              <w:rPr>
                <w:rFonts w:hint="eastAsia" w:ascii="Times New Roman" w:hAnsi="Times New Roman"/>
                <w:color w:val="000000"/>
                <w:szCs w:val="24"/>
              </w:rPr>
              <w:t>2</w:t>
            </w:r>
          </w:p>
        </w:tc>
        <w:tc>
          <w:tcPr>
            <w:tcW w:w="1842" w:type="dxa"/>
            <w:vAlign w:val="center"/>
          </w:tcPr>
          <w:p>
            <w:pPr>
              <w:jc w:val="center"/>
              <w:rPr>
                <w:rFonts w:ascii="Times New Roman" w:hAnsi="Times New Roman"/>
                <w:color w:val="000000"/>
                <w:szCs w:val="24"/>
              </w:rPr>
            </w:pPr>
          </w:p>
        </w:tc>
        <w:tc>
          <w:tcPr>
            <w:tcW w:w="2835" w:type="dxa"/>
            <w:vAlign w:val="center"/>
          </w:tcPr>
          <w:p>
            <w:pPr>
              <w:jc w:val="center"/>
              <w:rPr>
                <w:rFonts w:ascii="Times New Roman" w:hAnsi="Times New Roman"/>
                <w:color w:val="000000"/>
                <w:szCs w:val="24"/>
              </w:rPr>
            </w:pPr>
          </w:p>
        </w:tc>
        <w:tc>
          <w:tcPr>
            <w:tcW w:w="3670" w:type="dxa"/>
            <w:vAlign w:val="center"/>
          </w:tcPr>
          <w:p>
            <w:pPr>
              <w:jc w:val="center"/>
              <w:rPr>
                <w:rFonts w:ascii="Times New Roman" w:hAnsi="Times New Roman"/>
                <w:color w:val="000000"/>
                <w:szCs w:val="24"/>
              </w:rPr>
            </w:pPr>
          </w:p>
        </w:tc>
        <w:tc>
          <w:tcPr>
            <w:tcW w:w="2426" w:type="dxa"/>
            <w:vAlign w:val="center"/>
          </w:tcPr>
          <w:p>
            <w:pPr>
              <w:jc w:val="center"/>
              <w:rPr>
                <w:rFonts w:ascii="Times New Roman" w:hAnsi="Times New Roman"/>
                <w:color w:val="000000"/>
                <w:szCs w:val="24"/>
              </w:rPr>
            </w:pPr>
          </w:p>
        </w:tc>
        <w:tc>
          <w:tcPr>
            <w:tcW w:w="1842"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imes New Roman" w:hAnsi="Times New Roman"/>
                <w:color w:val="000000"/>
                <w:szCs w:val="24"/>
              </w:rPr>
            </w:pPr>
            <w:r>
              <w:rPr>
                <w:rFonts w:hint="eastAsia" w:ascii="Times New Roman" w:hAnsi="Times New Roman"/>
                <w:color w:val="000000"/>
                <w:szCs w:val="24"/>
              </w:rPr>
              <w:t>3</w:t>
            </w:r>
          </w:p>
        </w:tc>
        <w:tc>
          <w:tcPr>
            <w:tcW w:w="1842" w:type="dxa"/>
            <w:vAlign w:val="center"/>
          </w:tcPr>
          <w:p>
            <w:pPr>
              <w:jc w:val="center"/>
              <w:rPr>
                <w:rFonts w:ascii="Times New Roman" w:hAnsi="Times New Roman"/>
                <w:color w:val="000000"/>
                <w:szCs w:val="24"/>
              </w:rPr>
            </w:pPr>
          </w:p>
        </w:tc>
        <w:tc>
          <w:tcPr>
            <w:tcW w:w="2835" w:type="dxa"/>
            <w:vAlign w:val="center"/>
          </w:tcPr>
          <w:p>
            <w:pPr>
              <w:jc w:val="center"/>
              <w:rPr>
                <w:rFonts w:ascii="Times New Roman" w:hAnsi="Times New Roman"/>
                <w:color w:val="000000"/>
                <w:szCs w:val="24"/>
              </w:rPr>
            </w:pPr>
          </w:p>
        </w:tc>
        <w:tc>
          <w:tcPr>
            <w:tcW w:w="3670" w:type="dxa"/>
            <w:vAlign w:val="center"/>
          </w:tcPr>
          <w:p>
            <w:pPr>
              <w:jc w:val="center"/>
              <w:rPr>
                <w:rFonts w:ascii="Times New Roman" w:hAnsi="Times New Roman"/>
                <w:color w:val="000000"/>
                <w:szCs w:val="24"/>
              </w:rPr>
            </w:pPr>
          </w:p>
        </w:tc>
        <w:tc>
          <w:tcPr>
            <w:tcW w:w="2426" w:type="dxa"/>
            <w:vAlign w:val="center"/>
          </w:tcPr>
          <w:p>
            <w:pPr>
              <w:jc w:val="center"/>
              <w:rPr>
                <w:rFonts w:ascii="Times New Roman" w:hAnsi="Times New Roman"/>
                <w:color w:val="000000"/>
                <w:szCs w:val="24"/>
              </w:rPr>
            </w:pPr>
          </w:p>
        </w:tc>
        <w:tc>
          <w:tcPr>
            <w:tcW w:w="1842"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imes New Roman" w:hAnsi="Times New Roman"/>
                <w:color w:val="000000"/>
                <w:szCs w:val="24"/>
              </w:rPr>
            </w:pPr>
            <w:r>
              <w:rPr>
                <w:rFonts w:hint="eastAsia" w:ascii="Times New Roman" w:hAnsi="Times New Roman"/>
                <w:color w:val="000000"/>
                <w:szCs w:val="24"/>
              </w:rPr>
              <w:t>4</w:t>
            </w:r>
          </w:p>
        </w:tc>
        <w:tc>
          <w:tcPr>
            <w:tcW w:w="1842" w:type="dxa"/>
            <w:vAlign w:val="center"/>
          </w:tcPr>
          <w:p>
            <w:pPr>
              <w:jc w:val="center"/>
              <w:rPr>
                <w:rFonts w:ascii="Times New Roman" w:hAnsi="Times New Roman"/>
                <w:color w:val="000000"/>
                <w:szCs w:val="24"/>
              </w:rPr>
            </w:pPr>
          </w:p>
        </w:tc>
        <w:tc>
          <w:tcPr>
            <w:tcW w:w="2835" w:type="dxa"/>
            <w:vAlign w:val="center"/>
          </w:tcPr>
          <w:p>
            <w:pPr>
              <w:jc w:val="center"/>
              <w:rPr>
                <w:rFonts w:ascii="Times New Roman" w:hAnsi="Times New Roman"/>
                <w:color w:val="000000"/>
                <w:szCs w:val="24"/>
              </w:rPr>
            </w:pPr>
          </w:p>
        </w:tc>
        <w:tc>
          <w:tcPr>
            <w:tcW w:w="3670" w:type="dxa"/>
            <w:vAlign w:val="center"/>
          </w:tcPr>
          <w:p>
            <w:pPr>
              <w:jc w:val="center"/>
              <w:rPr>
                <w:rFonts w:ascii="Times New Roman" w:hAnsi="Times New Roman"/>
                <w:color w:val="000000"/>
                <w:szCs w:val="24"/>
              </w:rPr>
            </w:pPr>
          </w:p>
        </w:tc>
        <w:tc>
          <w:tcPr>
            <w:tcW w:w="2426" w:type="dxa"/>
            <w:vAlign w:val="center"/>
          </w:tcPr>
          <w:p>
            <w:pPr>
              <w:jc w:val="center"/>
              <w:rPr>
                <w:rFonts w:ascii="Times New Roman" w:hAnsi="Times New Roman"/>
                <w:color w:val="000000"/>
                <w:szCs w:val="24"/>
              </w:rPr>
            </w:pPr>
          </w:p>
        </w:tc>
        <w:tc>
          <w:tcPr>
            <w:tcW w:w="1842"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imes New Roman" w:hAnsi="Times New Roman"/>
                <w:color w:val="000000"/>
                <w:szCs w:val="24"/>
              </w:rPr>
            </w:pPr>
            <w:r>
              <w:rPr>
                <w:rFonts w:hint="eastAsia" w:ascii="Times New Roman" w:hAnsi="Times New Roman"/>
                <w:color w:val="000000"/>
                <w:szCs w:val="24"/>
              </w:rPr>
              <w:t>5</w:t>
            </w:r>
          </w:p>
        </w:tc>
        <w:tc>
          <w:tcPr>
            <w:tcW w:w="1842" w:type="dxa"/>
            <w:vAlign w:val="center"/>
          </w:tcPr>
          <w:p>
            <w:pPr>
              <w:jc w:val="center"/>
              <w:rPr>
                <w:rFonts w:ascii="Times New Roman" w:hAnsi="Times New Roman"/>
                <w:color w:val="000000"/>
                <w:szCs w:val="24"/>
              </w:rPr>
            </w:pPr>
          </w:p>
        </w:tc>
        <w:tc>
          <w:tcPr>
            <w:tcW w:w="2835" w:type="dxa"/>
            <w:vAlign w:val="center"/>
          </w:tcPr>
          <w:p>
            <w:pPr>
              <w:jc w:val="center"/>
              <w:rPr>
                <w:rFonts w:ascii="Times New Roman" w:hAnsi="Times New Roman"/>
                <w:color w:val="000000"/>
                <w:szCs w:val="24"/>
              </w:rPr>
            </w:pPr>
          </w:p>
        </w:tc>
        <w:tc>
          <w:tcPr>
            <w:tcW w:w="3670" w:type="dxa"/>
            <w:vAlign w:val="center"/>
          </w:tcPr>
          <w:p>
            <w:pPr>
              <w:jc w:val="center"/>
              <w:rPr>
                <w:rFonts w:ascii="Times New Roman" w:hAnsi="Times New Roman"/>
                <w:color w:val="000000"/>
                <w:szCs w:val="24"/>
              </w:rPr>
            </w:pPr>
          </w:p>
        </w:tc>
        <w:tc>
          <w:tcPr>
            <w:tcW w:w="2426" w:type="dxa"/>
            <w:vAlign w:val="center"/>
          </w:tcPr>
          <w:p>
            <w:pPr>
              <w:jc w:val="center"/>
              <w:rPr>
                <w:rFonts w:ascii="Times New Roman" w:hAnsi="Times New Roman"/>
                <w:color w:val="000000"/>
                <w:szCs w:val="24"/>
              </w:rPr>
            </w:pPr>
          </w:p>
        </w:tc>
        <w:tc>
          <w:tcPr>
            <w:tcW w:w="1842"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imes New Roman" w:hAnsi="Times New Roman"/>
                <w:color w:val="000000"/>
                <w:szCs w:val="24"/>
              </w:rPr>
            </w:pPr>
            <w:r>
              <w:rPr>
                <w:rFonts w:hint="eastAsia" w:ascii="Times New Roman" w:hAnsi="Times New Roman"/>
                <w:color w:val="000000"/>
                <w:szCs w:val="24"/>
              </w:rPr>
              <w:t>6</w:t>
            </w:r>
          </w:p>
        </w:tc>
        <w:tc>
          <w:tcPr>
            <w:tcW w:w="1842" w:type="dxa"/>
            <w:vAlign w:val="center"/>
          </w:tcPr>
          <w:p>
            <w:pPr>
              <w:jc w:val="center"/>
              <w:rPr>
                <w:rFonts w:ascii="Times New Roman" w:hAnsi="Times New Roman"/>
                <w:color w:val="000000"/>
                <w:szCs w:val="24"/>
              </w:rPr>
            </w:pPr>
          </w:p>
        </w:tc>
        <w:tc>
          <w:tcPr>
            <w:tcW w:w="2835" w:type="dxa"/>
            <w:vAlign w:val="center"/>
          </w:tcPr>
          <w:p>
            <w:pPr>
              <w:jc w:val="center"/>
              <w:rPr>
                <w:rFonts w:ascii="Times New Roman" w:hAnsi="Times New Roman"/>
                <w:color w:val="000000"/>
                <w:szCs w:val="24"/>
              </w:rPr>
            </w:pPr>
          </w:p>
        </w:tc>
        <w:tc>
          <w:tcPr>
            <w:tcW w:w="3670" w:type="dxa"/>
            <w:vAlign w:val="center"/>
          </w:tcPr>
          <w:p>
            <w:pPr>
              <w:jc w:val="center"/>
              <w:rPr>
                <w:rFonts w:ascii="Times New Roman" w:hAnsi="Times New Roman"/>
                <w:color w:val="000000"/>
                <w:szCs w:val="24"/>
              </w:rPr>
            </w:pPr>
          </w:p>
        </w:tc>
        <w:tc>
          <w:tcPr>
            <w:tcW w:w="2426" w:type="dxa"/>
            <w:vAlign w:val="center"/>
          </w:tcPr>
          <w:p>
            <w:pPr>
              <w:jc w:val="center"/>
              <w:rPr>
                <w:rFonts w:ascii="Times New Roman" w:hAnsi="Times New Roman"/>
                <w:color w:val="000000"/>
                <w:szCs w:val="24"/>
              </w:rPr>
            </w:pPr>
          </w:p>
        </w:tc>
        <w:tc>
          <w:tcPr>
            <w:tcW w:w="1842"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imes New Roman" w:hAnsi="Times New Roman"/>
                <w:color w:val="000000"/>
                <w:szCs w:val="24"/>
              </w:rPr>
            </w:pPr>
            <w:r>
              <w:rPr>
                <w:rFonts w:hint="eastAsia" w:ascii="Times New Roman" w:hAnsi="Times New Roman"/>
                <w:color w:val="000000"/>
                <w:szCs w:val="24"/>
              </w:rPr>
              <w:t>7</w:t>
            </w:r>
          </w:p>
        </w:tc>
        <w:tc>
          <w:tcPr>
            <w:tcW w:w="1842" w:type="dxa"/>
            <w:vAlign w:val="center"/>
          </w:tcPr>
          <w:p>
            <w:pPr>
              <w:jc w:val="center"/>
              <w:rPr>
                <w:rFonts w:ascii="Times New Roman" w:hAnsi="Times New Roman"/>
                <w:color w:val="000000"/>
                <w:szCs w:val="24"/>
              </w:rPr>
            </w:pPr>
          </w:p>
        </w:tc>
        <w:tc>
          <w:tcPr>
            <w:tcW w:w="2835" w:type="dxa"/>
            <w:vAlign w:val="center"/>
          </w:tcPr>
          <w:p>
            <w:pPr>
              <w:jc w:val="center"/>
              <w:rPr>
                <w:rFonts w:ascii="Times New Roman" w:hAnsi="Times New Roman"/>
                <w:color w:val="000000"/>
                <w:szCs w:val="24"/>
              </w:rPr>
            </w:pPr>
          </w:p>
        </w:tc>
        <w:tc>
          <w:tcPr>
            <w:tcW w:w="3670" w:type="dxa"/>
            <w:vAlign w:val="center"/>
          </w:tcPr>
          <w:p>
            <w:pPr>
              <w:jc w:val="center"/>
              <w:rPr>
                <w:rFonts w:ascii="Times New Roman" w:hAnsi="Times New Roman"/>
                <w:color w:val="000000"/>
                <w:szCs w:val="24"/>
              </w:rPr>
            </w:pPr>
          </w:p>
        </w:tc>
        <w:tc>
          <w:tcPr>
            <w:tcW w:w="2426" w:type="dxa"/>
            <w:vAlign w:val="center"/>
          </w:tcPr>
          <w:p>
            <w:pPr>
              <w:jc w:val="center"/>
              <w:rPr>
                <w:rFonts w:ascii="Times New Roman" w:hAnsi="Times New Roman"/>
                <w:color w:val="000000"/>
                <w:szCs w:val="24"/>
              </w:rPr>
            </w:pPr>
          </w:p>
        </w:tc>
        <w:tc>
          <w:tcPr>
            <w:tcW w:w="1842"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imes New Roman" w:hAnsi="Times New Roman"/>
                <w:color w:val="000000"/>
                <w:szCs w:val="24"/>
              </w:rPr>
            </w:pPr>
            <w:r>
              <w:rPr>
                <w:rFonts w:hint="eastAsia" w:ascii="Times New Roman" w:hAnsi="Times New Roman"/>
                <w:color w:val="000000"/>
                <w:szCs w:val="24"/>
              </w:rPr>
              <w:t>8</w:t>
            </w:r>
          </w:p>
        </w:tc>
        <w:tc>
          <w:tcPr>
            <w:tcW w:w="1842" w:type="dxa"/>
            <w:vAlign w:val="center"/>
          </w:tcPr>
          <w:p>
            <w:pPr>
              <w:jc w:val="center"/>
              <w:rPr>
                <w:rFonts w:ascii="Times New Roman" w:hAnsi="Times New Roman"/>
                <w:color w:val="000000"/>
                <w:szCs w:val="24"/>
              </w:rPr>
            </w:pPr>
          </w:p>
        </w:tc>
        <w:tc>
          <w:tcPr>
            <w:tcW w:w="2835" w:type="dxa"/>
            <w:vAlign w:val="center"/>
          </w:tcPr>
          <w:p>
            <w:pPr>
              <w:jc w:val="center"/>
              <w:rPr>
                <w:rFonts w:ascii="Times New Roman" w:hAnsi="Times New Roman"/>
                <w:color w:val="000000"/>
                <w:szCs w:val="24"/>
              </w:rPr>
            </w:pPr>
          </w:p>
        </w:tc>
        <w:tc>
          <w:tcPr>
            <w:tcW w:w="3670" w:type="dxa"/>
            <w:vAlign w:val="center"/>
          </w:tcPr>
          <w:p>
            <w:pPr>
              <w:jc w:val="center"/>
              <w:rPr>
                <w:rFonts w:ascii="Times New Roman" w:hAnsi="Times New Roman"/>
                <w:color w:val="000000"/>
                <w:szCs w:val="24"/>
              </w:rPr>
            </w:pPr>
          </w:p>
        </w:tc>
        <w:tc>
          <w:tcPr>
            <w:tcW w:w="2426" w:type="dxa"/>
            <w:vAlign w:val="center"/>
          </w:tcPr>
          <w:p>
            <w:pPr>
              <w:jc w:val="center"/>
              <w:rPr>
                <w:rFonts w:ascii="Times New Roman" w:hAnsi="Times New Roman"/>
                <w:color w:val="000000"/>
                <w:szCs w:val="24"/>
              </w:rPr>
            </w:pPr>
          </w:p>
        </w:tc>
        <w:tc>
          <w:tcPr>
            <w:tcW w:w="1842" w:type="dxa"/>
            <w:vAlign w:val="center"/>
          </w:tcPr>
          <w:p>
            <w:pPr>
              <w:jc w:val="center"/>
              <w:rPr>
                <w:rFonts w:ascii="Times New Roman" w:hAnsi="Times New Roman"/>
                <w:color w:val="00000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imes New Roman" w:hAnsi="Times New Roman"/>
                <w:color w:val="000000"/>
                <w:szCs w:val="24"/>
              </w:rPr>
            </w:pPr>
            <w:r>
              <w:rPr>
                <w:rFonts w:hint="eastAsia" w:ascii="Times New Roman" w:hAnsi="Times New Roman"/>
                <w:color w:val="000000"/>
                <w:szCs w:val="24"/>
              </w:rPr>
              <w:t>9</w:t>
            </w:r>
          </w:p>
        </w:tc>
        <w:tc>
          <w:tcPr>
            <w:tcW w:w="1842" w:type="dxa"/>
            <w:vAlign w:val="center"/>
          </w:tcPr>
          <w:p>
            <w:pPr>
              <w:jc w:val="center"/>
              <w:rPr>
                <w:rFonts w:ascii="Times New Roman" w:hAnsi="Times New Roman"/>
                <w:color w:val="000000"/>
                <w:szCs w:val="24"/>
              </w:rPr>
            </w:pPr>
          </w:p>
        </w:tc>
        <w:tc>
          <w:tcPr>
            <w:tcW w:w="2835" w:type="dxa"/>
            <w:vAlign w:val="center"/>
          </w:tcPr>
          <w:p>
            <w:pPr>
              <w:jc w:val="center"/>
              <w:rPr>
                <w:rFonts w:ascii="Times New Roman" w:hAnsi="Times New Roman"/>
                <w:color w:val="000000"/>
                <w:szCs w:val="24"/>
              </w:rPr>
            </w:pPr>
          </w:p>
        </w:tc>
        <w:tc>
          <w:tcPr>
            <w:tcW w:w="3670" w:type="dxa"/>
            <w:vAlign w:val="center"/>
          </w:tcPr>
          <w:p>
            <w:pPr>
              <w:jc w:val="center"/>
              <w:rPr>
                <w:rFonts w:ascii="Times New Roman" w:hAnsi="Times New Roman"/>
                <w:color w:val="000000"/>
                <w:szCs w:val="24"/>
              </w:rPr>
            </w:pPr>
          </w:p>
        </w:tc>
        <w:tc>
          <w:tcPr>
            <w:tcW w:w="2426" w:type="dxa"/>
            <w:vAlign w:val="center"/>
          </w:tcPr>
          <w:p>
            <w:pPr>
              <w:jc w:val="center"/>
              <w:rPr>
                <w:rFonts w:ascii="Times New Roman" w:hAnsi="Times New Roman"/>
                <w:color w:val="000000"/>
                <w:szCs w:val="24"/>
              </w:rPr>
            </w:pPr>
          </w:p>
        </w:tc>
        <w:tc>
          <w:tcPr>
            <w:tcW w:w="1842" w:type="dxa"/>
            <w:vAlign w:val="center"/>
          </w:tcPr>
          <w:p>
            <w:pPr>
              <w:jc w:val="center"/>
              <w:rPr>
                <w:rFonts w:ascii="Times New Roman" w:hAnsi="Times New Roman"/>
                <w:color w:val="000000"/>
                <w:szCs w:val="24"/>
              </w:rPr>
            </w:pPr>
          </w:p>
        </w:tc>
      </w:tr>
    </w:tbl>
    <w:p>
      <w:pPr>
        <w:rPr>
          <w:rFonts w:ascii="Times New Roman" w:hAnsi="Times New Roman"/>
          <w:color w:val="000000"/>
          <w:szCs w:val="24"/>
        </w:rPr>
      </w:pPr>
      <w:r>
        <w:rPr>
          <w:rFonts w:hint="eastAsia" w:ascii="Times New Roman" w:hAnsi="Times New Roman"/>
          <w:color w:val="000000"/>
          <w:szCs w:val="24"/>
        </w:rPr>
        <w:t>注：1、抽查对象：结合抽查期间内的月维保计划，随机进行抽取；</w:t>
      </w:r>
    </w:p>
    <w:p>
      <w:pPr>
        <w:rPr>
          <w:rFonts w:ascii="Times New Roman" w:hAnsi="Times New Roman"/>
          <w:color w:val="000000"/>
        </w:rPr>
      </w:pPr>
      <w:r>
        <w:rPr>
          <w:rFonts w:hint="eastAsia" w:ascii="Times New Roman" w:hAnsi="Times New Roman"/>
          <w:color w:val="000000"/>
          <w:szCs w:val="24"/>
        </w:rPr>
        <w:t xml:space="preserve">    2、检查标准：（1）抽查范围内是否存在未处理的故障、预警、火警、屏蔽，甲方原因除外；（2）被抽查到的对象，如烟感、温感、红外对射等探测器，是否存在积尘大、接线端子松垮等未保养情况；（3）是否存在大范围的故障、报警，主机是否存在水位低等未保养情况。以上情况一经发现皆判定为不符合要求。</w:t>
      </w:r>
    </w:p>
    <w:p>
      <w:pPr>
        <w:widowControl/>
        <w:jc w:val="left"/>
        <w:rPr>
          <w:rFonts w:ascii="宋体" w:hAnsi="宋体"/>
          <w:sz w:val="28"/>
          <w:szCs w:val="28"/>
        </w:rPr>
      </w:pPr>
      <w:r>
        <w:rPr>
          <w:rFonts w:ascii="宋体" w:hAnsi="宋体"/>
          <w:sz w:val="28"/>
          <w:szCs w:val="28"/>
        </w:rPr>
        <w:br w:type="page"/>
      </w:r>
    </w:p>
    <w:p>
      <w:pPr>
        <w:jc w:val="left"/>
        <w:rPr>
          <w:rFonts w:ascii="宋体" w:hAnsi="宋体" w:cs="宋体"/>
          <w:b/>
          <w:color w:val="000000"/>
        </w:rPr>
      </w:pPr>
      <w:r>
        <w:rPr>
          <w:rFonts w:hint="eastAsia" w:ascii="宋体" w:hAnsi="宋体" w:cs="宋体"/>
          <w:color w:val="000000"/>
        </w:rPr>
        <w:t xml:space="preserve">附表三                                           </w:t>
      </w:r>
      <w:r>
        <w:rPr>
          <w:rFonts w:hint="eastAsia" w:ascii="宋体" w:hAnsi="宋体" w:cs="宋体"/>
          <w:b/>
          <w:color w:val="000000"/>
        </w:rPr>
        <w:t xml:space="preserve">消防系统维保情况月评价表（满分：100分）     </w:t>
      </w:r>
    </w:p>
    <w:p>
      <w:pPr>
        <w:jc w:val="left"/>
        <w:rPr>
          <w:rFonts w:ascii="宋体" w:hAnsi="宋体" w:cs="宋体"/>
          <w:b/>
          <w:color w:val="000000"/>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208"/>
        <w:gridCol w:w="7599"/>
        <w:gridCol w:w="3544"/>
        <w:gridCol w:w="2478"/>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466" w:type="dxa"/>
            <w:vAlign w:val="center"/>
          </w:tcPr>
          <w:p>
            <w:pPr>
              <w:jc w:val="center"/>
              <w:rPr>
                <w:rFonts w:ascii="宋体" w:hAnsi="宋体" w:cs="宋体"/>
                <w:color w:val="000000"/>
              </w:rPr>
            </w:pPr>
            <w:r>
              <w:rPr>
                <w:rFonts w:hint="eastAsia" w:ascii="宋体" w:hAnsi="宋体" w:cs="宋体"/>
                <w:color w:val="000000"/>
              </w:rPr>
              <w:t>序号</w:t>
            </w:r>
          </w:p>
        </w:tc>
        <w:tc>
          <w:tcPr>
            <w:tcW w:w="8807" w:type="dxa"/>
            <w:gridSpan w:val="2"/>
            <w:vAlign w:val="center"/>
          </w:tcPr>
          <w:p>
            <w:pPr>
              <w:jc w:val="center"/>
              <w:rPr>
                <w:rFonts w:ascii="宋体" w:hAnsi="宋体" w:cs="宋体"/>
                <w:color w:val="000000"/>
              </w:rPr>
            </w:pPr>
            <w:r>
              <w:rPr>
                <w:rFonts w:hint="eastAsia" w:ascii="宋体" w:hAnsi="宋体" w:cs="宋体"/>
                <w:color w:val="000000"/>
              </w:rPr>
              <w:t>考核项目</w:t>
            </w:r>
          </w:p>
        </w:tc>
        <w:tc>
          <w:tcPr>
            <w:tcW w:w="3544" w:type="dxa"/>
            <w:vAlign w:val="center"/>
          </w:tcPr>
          <w:p>
            <w:pPr>
              <w:ind w:firstLine="105" w:firstLineChars="50"/>
              <w:jc w:val="center"/>
              <w:rPr>
                <w:rFonts w:ascii="宋体" w:hAnsi="宋体" w:cs="宋体"/>
                <w:color w:val="000000"/>
              </w:rPr>
            </w:pPr>
            <w:r>
              <w:rPr>
                <w:rFonts w:hint="eastAsia" w:ascii="宋体" w:hAnsi="宋体" w:cs="宋体"/>
                <w:color w:val="000000"/>
              </w:rPr>
              <w:t>考核标准</w:t>
            </w:r>
          </w:p>
        </w:tc>
        <w:tc>
          <w:tcPr>
            <w:tcW w:w="2478" w:type="dxa"/>
            <w:vAlign w:val="center"/>
          </w:tcPr>
          <w:p>
            <w:pPr>
              <w:jc w:val="center"/>
              <w:rPr>
                <w:rFonts w:ascii="宋体" w:hAnsi="宋体" w:cs="宋体"/>
                <w:color w:val="000000"/>
              </w:rPr>
            </w:pPr>
            <w:r>
              <w:rPr>
                <w:rFonts w:hint="eastAsia" w:ascii="宋体" w:hAnsi="宋体" w:cs="宋体"/>
                <w:color w:val="000000"/>
              </w:rPr>
              <w:t>扣分情况</w:t>
            </w:r>
          </w:p>
        </w:tc>
        <w:tc>
          <w:tcPr>
            <w:tcW w:w="532" w:type="dxa"/>
            <w:vAlign w:val="center"/>
          </w:tcPr>
          <w:p>
            <w:pPr>
              <w:jc w:val="center"/>
              <w:rPr>
                <w:rFonts w:ascii="宋体" w:hAnsi="宋体" w:cs="宋体"/>
                <w:color w:val="000000"/>
              </w:rPr>
            </w:pPr>
            <w:r>
              <w:rPr>
                <w:rFonts w:hint="eastAsia" w:ascii="宋体" w:hAnsi="宋体" w:cs="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66" w:type="dxa"/>
            <w:vAlign w:val="center"/>
          </w:tcPr>
          <w:p>
            <w:pPr>
              <w:jc w:val="center"/>
              <w:rPr>
                <w:rFonts w:ascii="宋体" w:hAnsi="宋体" w:cs="宋体"/>
                <w:color w:val="000000"/>
              </w:rPr>
            </w:pPr>
            <w:r>
              <w:rPr>
                <w:rFonts w:hint="eastAsia" w:ascii="宋体" w:hAnsi="宋体" w:cs="宋体"/>
                <w:color w:val="000000"/>
              </w:rPr>
              <w:t>1</w:t>
            </w:r>
          </w:p>
        </w:tc>
        <w:tc>
          <w:tcPr>
            <w:tcW w:w="1208" w:type="dxa"/>
            <w:vAlign w:val="center"/>
          </w:tcPr>
          <w:p>
            <w:pPr>
              <w:jc w:val="center"/>
              <w:rPr>
                <w:rFonts w:ascii="宋体" w:hAnsi="宋体" w:cs="宋体"/>
                <w:color w:val="000000"/>
              </w:rPr>
            </w:pPr>
            <w:r>
              <w:rPr>
                <w:rFonts w:hint="eastAsia" w:ascii="宋体" w:hAnsi="宋体" w:cs="宋体"/>
                <w:color w:val="000000"/>
              </w:rPr>
              <w:t>维保响应</w:t>
            </w:r>
          </w:p>
        </w:tc>
        <w:tc>
          <w:tcPr>
            <w:tcW w:w="7599" w:type="dxa"/>
            <w:vAlign w:val="center"/>
          </w:tcPr>
          <w:p>
            <w:pPr>
              <w:jc w:val="left"/>
              <w:rPr>
                <w:rFonts w:ascii="宋体" w:hAnsi="宋体" w:cs="宋体"/>
                <w:color w:val="000000"/>
              </w:rPr>
            </w:pPr>
            <w:r>
              <w:rPr>
                <w:rFonts w:hint="eastAsia" w:ascii="宋体" w:hAnsi="宋体" w:cs="宋体"/>
                <w:color w:val="000000"/>
              </w:rPr>
              <w:t>维保响应时间要求：</w:t>
            </w:r>
          </w:p>
          <w:p>
            <w:pPr>
              <w:jc w:val="left"/>
              <w:rPr>
                <w:rFonts w:ascii="宋体" w:hAnsi="宋体" w:cs="宋体"/>
                <w:color w:val="000000"/>
              </w:rPr>
            </w:pPr>
            <w:r>
              <w:rPr>
                <w:rFonts w:hint="eastAsia" w:ascii="宋体" w:hAnsi="宋体" w:cs="宋体"/>
                <w:color w:val="000000"/>
              </w:rPr>
              <w:t>1、一般故障：维保人员接到报修通知后应于2小时内赶到现场维修。</w:t>
            </w:r>
          </w:p>
          <w:p>
            <w:pPr>
              <w:jc w:val="left"/>
              <w:rPr>
                <w:rFonts w:ascii="宋体" w:hAnsi="宋体" w:cs="宋体"/>
                <w:color w:val="000000"/>
              </w:rPr>
            </w:pPr>
            <w:r>
              <w:rPr>
                <w:rFonts w:hint="eastAsia" w:ascii="宋体" w:hAnsi="宋体" w:cs="宋体"/>
                <w:color w:val="000000"/>
              </w:rPr>
              <w:t>2、严重故障：维保人员接到报修通知后应于1小时内赶到现场维修。</w:t>
            </w:r>
          </w:p>
        </w:tc>
        <w:tc>
          <w:tcPr>
            <w:tcW w:w="3544" w:type="dxa"/>
            <w:vAlign w:val="center"/>
          </w:tcPr>
          <w:p>
            <w:pPr>
              <w:jc w:val="left"/>
              <w:rPr>
                <w:rFonts w:ascii="宋体" w:hAnsi="宋体" w:cs="宋体"/>
                <w:color w:val="000000"/>
              </w:rPr>
            </w:pPr>
            <w:r>
              <w:rPr>
                <w:rFonts w:hint="eastAsia" w:ascii="Times New Roman" w:hAnsi="Times New Roman"/>
                <w:color w:val="000000"/>
              </w:rPr>
              <w:t>查看《消防系统维保情况记录表》，</w:t>
            </w:r>
            <w:r>
              <w:rPr>
                <w:rFonts w:hint="eastAsia" w:ascii="宋体" w:hAnsi="宋体" w:cs="宋体"/>
                <w:color w:val="000000"/>
              </w:rPr>
              <w:t>未按要求到达现场的，一般故障每次扣2分，严重故障每次扣3分。</w:t>
            </w:r>
          </w:p>
        </w:tc>
        <w:tc>
          <w:tcPr>
            <w:tcW w:w="2478" w:type="dxa"/>
            <w:vAlign w:val="center"/>
          </w:tcPr>
          <w:p>
            <w:pPr>
              <w:jc w:val="center"/>
              <w:rPr>
                <w:rFonts w:ascii="宋体" w:hAnsi="宋体" w:cs="宋体"/>
                <w:color w:val="000000"/>
              </w:rPr>
            </w:pPr>
          </w:p>
        </w:tc>
        <w:tc>
          <w:tcPr>
            <w:tcW w:w="532" w:type="dxa"/>
            <w:vAlign w:val="center"/>
          </w:tcPr>
          <w:p>
            <w:pPr>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466" w:type="dxa"/>
            <w:vAlign w:val="center"/>
          </w:tcPr>
          <w:p>
            <w:pPr>
              <w:jc w:val="center"/>
              <w:rPr>
                <w:rFonts w:ascii="宋体" w:hAnsi="宋体" w:cs="宋体"/>
                <w:color w:val="000000"/>
              </w:rPr>
            </w:pPr>
            <w:r>
              <w:rPr>
                <w:rFonts w:hint="eastAsia" w:ascii="宋体" w:hAnsi="宋体" w:cs="宋体"/>
                <w:color w:val="000000"/>
              </w:rPr>
              <w:t>2</w:t>
            </w:r>
          </w:p>
        </w:tc>
        <w:tc>
          <w:tcPr>
            <w:tcW w:w="1208" w:type="dxa"/>
            <w:vAlign w:val="center"/>
          </w:tcPr>
          <w:p>
            <w:pPr>
              <w:jc w:val="center"/>
              <w:rPr>
                <w:rFonts w:ascii="宋体" w:hAnsi="宋体" w:cs="宋体"/>
                <w:color w:val="000000"/>
              </w:rPr>
            </w:pPr>
            <w:r>
              <w:rPr>
                <w:rFonts w:hint="eastAsia" w:ascii="宋体" w:hAnsi="宋体" w:cs="宋体"/>
                <w:color w:val="000000"/>
              </w:rPr>
              <w:t>技术水平</w:t>
            </w:r>
          </w:p>
        </w:tc>
        <w:tc>
          <w:tcPr>
            <w:tcW w:w="7599" w:type="dxa"/>
            <w:vAlign w:val="center"/>
          </w:tcPr>
          <w:p>
            <w:pPr>
              <w:jc w:val="left"/>
              <w:rPr>
                <w:rFonts w:ascii="宋体" w:hAnsi="宋体" w:cs="宋体"/>
                <w:color w:val="000000"/>
              </w:rPr>
            </w:pPr>
            <w:r>
              <w:rPr>
                <w:rFonts w:hint="eastAsia" w:ascii="宋体" w:hAnsi="宋体" w:cs="宋体"/>
                <w:color w:val="000000"/>
              </w:rPr>
              <w:t>故障修复时间要求：</w:t>
            </w:r>
          </w:p>
          <w:p>
            <w:pPr>
              <w:jc w:val="left"/>
              <w:rPr>
                <w:rFonts w:ascii="宋体" w:hAnsi="宋体" w:cs="宋体"/>
                <w:color w:val="000000"/>
              </w:rPr>
            </w:pPr>
            <w:r>
              <w:rPr>
                <w:rFonts w:hint="eastAsia" w:ascii="宋体" w:hAnsi="宋体" w:cs="宋体"/>
                <w:color w:val="000000"/>
              </w:rPr>
              <w:t>1、一般故障：维保人员需在到达现场后 2 小时内解决故障并恢复设备正常运行。</w:t>
            </w:r>
          </w:p>
          <w:p>
            <w:pPr>
              <w:jc w:val="left"/>
              <w:rPr>
                <w:rFonts w:ascii="宋体" w:hAnsi="宋体" w:cs="宋体"/>
                <w:color w:val="000000"/>
              </w:rPr>
            </w:pPr>
            <w:r>
              <w:rPr>
                <w:rFonts w:hint="eastAsia" w:ascii="宋体" w:hAnsi="宋体" w:cs="宋体"/>
                <w:color w:val="000000"/>
              </w:rPr>
              <w:t>2、严重故障：维保人员需在到达现场后24小时内解决故障并恢复设备正常运行。</w:t>
            </w:r>
          </w:p>
          <w:p>
            <w:pPr>
              <w:jc w:val="left"/>
              <w:rPr>
                <w:rFonts w:ascii="宋体" w:hAnsi="宋体" w:cs="宋体"/>
                <w:color w:val="000000"/>
              </w:rPr>
            </w:pPr>
            <w:r>
              <w:rPr>
                <w:rFonts w:hint="eastAsia" w:ascii="宋体" w:hAnsi="宋体" w:cs="宋体"/>
                <w:color w:val="000000"/>
              </w:rPr>
              <w:t xml:space="preserve">    备注：备件供应消耗时间、人为损坏等原因的除外。</w:t>
            </w:r>
          </w:p>
        </w:tc>
        <w:tc>
          <w:tcPr>
            <w:tcW w:w="3544" w:type="dxa"/>
            <w:vAlign w:val="center"/>
          </w:tcPr>
          <w:p>
            <w:pPr>
              <w:jc w:val="left"/>
              <w:rPr>
                <w:rFonts w:ascii="宋体" w:hAnsi="宋体" w:cs="宋体"/>
                <w:color w:val="000000"/>
              </w:rPr>
            </w:pPr>
            <w:r>
              <w:rPr>
                <w:rFonts w:hint="eastAsia" w:ascii="Times New Roman" w:hAnsi="Times New Roman"/>
                <w:color w:val="000000"/>
              </w:rPr>
              <w:t>查看《消防系统维保情况记录表》，</w:t>
            </w:r>
            <w:r>
              <w:rPr>
                <w:rFonts w:hint="eastAsia" w:ascii="宋体" w:hAnsi="宋体" w:cs="宋体"/>
                <w:color w:val="000000"/>
              </w:rPr>
              <w:t>未按要求恢复设备正常运行的，一般故障每次扣2分，严重故障每次扣3分。</w:t>
            </w:r>
          </w:p>
        </w:tc>
        <w:tc>
          <w:tcPr>
            <w:tcW w:w="2478" w:type="dxa"/>
            <w:vAlign w:val="center"/>
          </w:tcPr>
          <w:p>
            <w:pPr>
              <w:jc w:val="center"/>
              <w:rPr>
                <w:rFonts w:ascii="宋体" w:hAnsi="宋体" w:cs="宋体"/>
                <w:color w:val="000000"/>
              </w:rPr>
            </w:pPr>
          </w:p>
        </w:tc>
        <w:tc>
          <w:tcPr>
            <w:tcW w:w="532" w:type="dxa"/>
            <w:vAlign w:val="center"/>
          </w:tcPr>
          <w:p>
            <w:pPr>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466" w:type="dxa"/>
            <w:vMerge w:val="restart"/>
            <w:vAlign w:val="center"/>
          </w:tcPr>
          <w:p>
            <w:pPr>
              <w:jc w:val="center"/>
              <w:rPr>
                <w:rFonts w:ascii="宋体" w:hAnsi="宋体" w:cs="宋体"/>
                <w:color w:val="000000"/>
              </w:rPr>
            </w:pPr>
            <w:r>
              <w:rPr>
                <w:rFonts w:hint="eastAsia" w:ascii="宋体" w:hAnsi="宋体" w:cs="宋体"/>
                <w:color w:val="000000"/>
              </w:rPr>
              <w:t>3</w:t>
            </w:r>
          </w:p>
        </w:tc>
        <w:tc>
          <w:tcPr>
            <w:tcW w:w="1208" w:type="dxa"/>
            <w:vMerge w:val="restart"/>
            <w:vAlign w:val="center"/>
          </w:tcPr>
          <w:p>
            <w:pPr>
              <w:jc w:val="center"/>
              <w:rPr>
                <w:rFonts w:ascii="宋体" w:hAnsi="宋体" w:cs="宋体"/>
                <w:color w:val="000000"/>
              </w:rPr>
            </w:pPr>
            <w:r>
              <w:rPr>
                <w:rFonts w:hint="eastAsia" w:ascii="宋体" w:hAnsi="宋体" w:cs="宋体"/>
                <w:color w:val="000000"/>
              </w:rPr>
              <w:t>计划执行</w:t>
            </w:r>
          </w:p>
        </w:tc>
        <w:tc>
          <w:tcPr>
            <w:tcW w:w="7599" w:type="dxa"/>
            <w:vAlign w:val="center"/>
          </w:tcPr>
          <w:p>
            <w:pPr>
              <w:jc w:val="left"/>
              <w:rPr>
                <w:rFonts w:ascii="宋体" w:hAnsi="宋体" w:cs="宋体"/>
                <w:color w:val="000000"/>
              </w:rPr>
            </w:pPr>
            <w:r>
              <w:rPr>
                <w:rFonts w:hint="eastAsia" w:ascii="宋体" w:hAnsi="宋体" w:cs="宋体"/>
                <w:color w:val="000000"/>
              </w:rPr>
              <w:t>甲方每月底下达下月维保计划，乙方必须严格按计划执行，并认真填写当月维保实施情况，甲方将对当月计划的执行情况、维保质量进行考核。备注：因特殊情况，当月个别对象无法进行维保的，需由甲方确认。</w:t>
            </w:r>
          </w:p>
        </w:tc>
        <w:tc>
          <w:tcPr>
            <w:tcW w:w="3544" w:type="dxa"/>
            <w:vAlign w:val="center"/>
          </w:tcPr>
          <w:p>
            <w:pPr>
              <w:jc w:val="left"/>
              <w:rPr>
                <w:rFonts w:ascii="宋体" w:hAnsi="宋体" w:cs="宋体"/>
                <w:color w:val="000000"/>
              </w:rPr>
            </w:pPr>
            <w:r>
              <w:rPr>
                <w:rFonts w:hint="eastAsia" w:ascii="宋体" w:hAnsi="宋体" w:cs="宋体"/>
                <w:color w:val="000000"/>
              </w:rPr>
              <w:t>结合当季度月计划的执行情况，未按计划实施维保的，每项扣3分，维保质量不符合要求的，每项扣3分。</w:t>
            </w:r>
          </w:p>
        </w:tc>
        <w:tc>
          <w:tcPr>
            <w:tcW w:w="2478" w:type="dxa"/>
            <w:vAlign w:val="center"/>
          </w:tcPr>
          <w:p>
            <w:pPr>
              <w:jc w:val="center"/>
              <w:rPr>
                <w:rFonts w:ascii="宋体" w:hAnsi="宋体" w:cs="宋体"/>
                <w:color w:val="000000"/>
              </w:rPr>
            </w:pPr>
          </w:p>
        </w:tc>
        <w:tc>
          <w:tcPr>
            <w:tcW w:w="532" w:type="dxa"/>
            <w:vAlign w:val="center"/>
          </w:tcPr>
          <w:p>
            <w:pPr>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466" w:type="dxa"/>
            <w:vMerge w:val="continue"/>
            <w:vAlign w:val="center"/>
          </w:tcPr>
          <w:p>
            <w:pPr>
              <w:jc w:val="center"/>
              <w:rPr>
                <w:rFonts w:ascii="宋体" w:hAnsi="宋体" w:cs="宋体"/>
                <w:color w:val="000000"/>
              </w:rPr>
            </w:pPr>
          </w:p>
        </w:tc>
        <w:tc>
          <w:tcPr>
            <w:tcW w:w="1208" w:type="dxa"/>
            <w:vMerge w:val="continue"/>
            <w:vAlign w:val="center"/>
          </w:tcPr>
          <w:p>
            <w:pPr>
              <w:jc w:val="center"/>
              <w:rPr>
                <w:rFonts w:ascii="宋体" w:hAnsi="宋体" w:cs="宋体"/>
                <w:color w:val="000000"/>
              </w:rPr>
            </w:pPr>
          </w:p>
        </w:tc>
        <w:tc>
          <w:tcPr>
            <w:tcW w:w="7599" w:type="dxa"/>
            <w:vAlign w:val="center"/>
          </w:tcPr>
          <w:p>
            <w:pPr>
              <w:jc w:val="left"/>
              <w:rPr>
                <w:rFonts w:ascii="宋体" w:hAnsi="宋体" w:cs="宋体"/>
                <w:color w:val="000000"/>
              </w:rPr>
            </w:pPr>
            <w:r>
              <w:rPr>
                <w:rFonts w:hint="eastAsia" w:ascii="宋体" w:hAnsi="宋体" w:cs="宋体"/>
                <w:color w:val="000000"/>
              </w:rPr>
              <w:t>在考核周期内将不定期对维保质量进行的抽查、考核。</w:t>
            </w:r>
          </w:p>
        </w:tc>
        <w:tc>
          <w:tcPr>
            <w:tcW w:w="3544" w:type="dxa"/>
            <w:vAlign w:val="center"/>
          </w:tcPr>
          <w:p>
            <w:pPr>
              <w:jc w:val="left"/>
              <w:rPr>
                <w:rFonts w:ascii="宋体" w:hAnsi="宋体" w:cs="宋体"/>
                <w:color w:val="000000"/>
              </w:rPr>
            </w:pPr>
            <w:r>
              <w:rPr>
                <w:rFonts w:hint="eastAsia" w:ascii="宋体" w:hAnsi="宋体" w:cs="宋体"/>
                <w:color w:val="000000"/>
              </w:rPr>
              <w:t>查看《</w:t>
            </w:r>
            <w:r>
              <w:rPr>
                <w:rFonts w:hint="eastAsia" w:ascii="Times New Roman" w:hAnsi="Times New Roman"/>
                <w:color w:val="000000"/>
                <w:szCs w:val="24"/>
              </w:rPr>
              <w:t>消防系统维保月度抽查情况表》</w:t>
            </w:r>
            <w:r>
              <w:rPr>
                <w:rFonts w:hint="eastAsia" w:ascii="宋体" w:hAnsi="宋体" w:cs="宋体"/>
                <w:color w:val="000000"/>
              </w:rPr>
              <w:t>，发现不符合要求的，每项扣3分。</w:t>
            </w:r>
          </w:p>
        </w:tc>
        <w:tc>
          <w:tcPr>
            <w:tcW w:w="2478" w:type="dxa"/>
            <w:vAlign w:val="center"/>
          </w:tcPr>
          <w:p>
            <w:pPr>
              <w:jc w:val="center"/>
              <w:rPr>
                <w:rFonts w:ascii="宋体" w:hAnsi="宋体" w:cs="宋体"/>
                <w:color w:val="000000"/>
              </w:rPr>
            </w:pPr>
          </w:p>
        </w:tc>
        <w:tc>
          <w:tcPr>
            <w:tcW w:w="532" w:type="dxa"/>
            <w:vAlign w:val="center"/>
          </w:tcPr>
          <w:p>
            <w:pPr>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466" w:type="dxa"/>
            <w:vAlign w:val="center"/>
          </w:tcPr>
          <w:p>
            <w:pPr>
              <w:jc w:val="center"/>
              <w:rPr>
                <w:rFonts w:ascii="宋体" w:hAnsi="宋体" w:cs="宋体"/>
                <w:color w:val="000000"/>
              </w:rPr>
            </w:pPr>
            <w:r>
              <w:rPr>
                <w:rFonts w:hint="eastAsia" w:ascii="宋体" w:hAnsi="宋体" w:cs="宋体"/>
                <w:color w:val="000000"/>
              </w:rPr>
              <w:t>4</w:t>
            </w:r>
          </w:p>
        </w:tc>
        <w:tc>
          <w:tcPr>
            <w:tcW w:w="1208" w:type="dxa"/>
            <w:vAlign w:val="center"/>
          </w:tcPr>
          <w:p>
            <w:pPr>
              <w:jc w:val="center"/>
              <w:rPr>
                <w:rFonts w:ascii="宋体" w:hAnsi="宋体" w:cs="宋体"/>
                <w:color w:val="000000"/>
              </w:rPr>
            </w:pPr>
            <w:r>
              <w:rPr>
                <w:rFonts w:hint="eastAsia" w:ascii="宋体" w:hAnsi="宋体" w:cs="宋体"/>
                <w:color w:val="000000"/>
              </w:rPr>
              <w:t>文档资料</w:t>
            </w:r>
          </w:p>
        </w:tc>
        <w:tc>
          <w:tcPr>
            <w:tcW w:w="7599" w:type="dxa"/>
            <w:vAlign w:val="center"/>
          </w:tcPr>
          <w:p>
            <w:pPr>
              <w:jc w:val="left"/>
              <w:rPr>
                <w:rFonts w:ascii="宋体" w:hAnsi="宋体" w:cs="宋体"/>
                <w:color w:val="000000"/>
              </w:rPr>
            </w:pPr>
            <w:r>
              <w:rPr>
                <w:rFonts w:hint="eastAsia" w:ascii="宋体" w:hAnsi="宋体" w:cs="宋体"/>
                <w:color w:val="000000"/>
              </w:rPr>
              <w:t>每月30日前（节假日顺延）将本月的维保记录（含</w:t>
            </w:r>
            <w:r>
              <w:rPr>
                <w:rFonts w:hint="eastAsia" w:ascii="宋体" w:hAnsi="宋体"/>
                <w:color w:val="000000"/>
              </w:rPr>
              <w:t>设备故障情况、故障原因、处理方法、处理结果、处理完成时间和维保人员等信息</w:t>
            </w:r>
            <w:r>
              <w:rPr>
                <w:rFonts w:hint="eastAsia" w:ascii="宋体" w:hAnsi="宋体" w:cs="宋体"/>
                <w:color w:val="000000"/>
              </w:rPr>
              <w:t>）、</w:t>
            </w:r>
            <w:r>
              <w:rPr>
                <w:rFonts w:hint="eastAsia" w:ascii="宋体" w:hAnsi="宋体"/>
                <w:color w:val="000000"/>
              </w:rPr>
              <w:t>月维保报告</w:t>
            </w:r>
            <w:r>
              <w:rPr>
                <w:rFonts w:hint="eastAsia" w:ascii="宋体" w:hAnsi="宋体" w:cs="宋体"/>
                <w:color w:val="000000"/>
              </w:rPr>
              <w:t>（含消防系统</w:t>
            </w:r>
            <w:r>
              <w:rPr>
                <w:rFonts w:hint="eastAsia" w:ascii="宋体" w:hAnsi="宋体"/>
                <w:color w:val="000000"/>
              </w:rPr>
              <w:t>的运行情况、维保建议等</w:t>
            </w:r>
            <w:r>
              <w:rPr>
                <w:rFonts w:hint="eastAsia" w:ascii="宋体" w:hAnsi="宋体" w:cs="宋体"/>
                <w:color w:val="000000"/>
              </w:rPr>
              <w:t>）移交给安保部。</w:t>
            </w:r>
          </w:p>
        </w:tc>
        <w:tc>
          <w:tcPr>
            <w:tcW w:w="3544" w:type="dxa"/>
            <w:vAlign w:val="center"/>
          </w:tcPr>
          <w:p>
            <w:pPr>
              <w:jc w:val="left"/>
              <w:rPr>
                <w:rFonts w:ascii="宋体" w:hAnsi="宋体" w:cs="宋体"/>
                <w:color w:val="000000"/>
              </w:rPr>
            </w:pPr>
            <w:r>
              <w:rPr>
                <w:rFonts w:hint="eastAsia" w:ascii="宋体" w:hAnsi="宋体" w:cs="宋体"/>
                <w:color w:val="000000"/>
              </w:rPr>
              <w:t>未按照要求做好消防系统的维保记录、</w:t>
            </w:r>
            <w:r>
              <w:rPr>
                <w:rFonts w:hint="eastAsia" w:ascii="宋体" w:hAnsi="宋体"/>
                <w:color w:val="000000"/>
              </w:rPr>
              <w:t>月维保报告</w:t>
            </w:r>
            <w:r>
              <w:rPr>
                <w:rFonts w:hint="eastAsia" w:ascii="宋体" w:hAnsi="宋体" w:cs="宋体"/>
                <w:color w:val="000000"/>
              </w:rPr>
              <w:t>的，每次扣3分；未按时间节点提交的，每次扣3分。</w:t>
            </w:r>
          </w:p>
        </w:tc>
        <w:tc>
          <w:tcPr>
            <w:tcW w:w="2478" w:type="dxa"/>
            <w:vAlign w:val="center"/>
          </w:tcPr>
          <w:p>
            <w:pPr>
              <w:jc w:val="center"/>
              <w:rPr>
                <w:rFonts w:ascii="宋体" w:hAnsi="宋体" w:cs="宋体"/>
                <w:color w:val="000000"/>
              </w:rPr>
            </w:pPr>
          </w:p>
        </w:tc>
        <w:tc>
          <w:tcPr>
            <w:tcW w:w="532" w:type="dxa"/>
            <w:vAlign w:val="center"/>
          </w:tcPr>
          <w:p>
            <w:pPr>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466" w:type="dxa"/>
            <w:vAlign w:val="center"/>
          </w:tcPr>
          <w:p>
            <w:pPr>
              <w:jc w:val="center"/>
              <w:rPr>
                <w:rFonts w:ascii="宋体" w:hAnsi="宋体" w:cs="宋体"/>
                <w:color w:val="000000"/>
              </w:rPr>
            </w:pPr>
            <w:r>
              <w:rPr>
                <w:rFonts w:hint="eastAsia" w:ascii="宋体" w:hAnsi="宋体" w:cs="宋体"/>
                <w:color w:val="000000"/>
              </w:rPr>
              <w:t>5</w:t>
            </w:r>
          </w:p>
        </w:tc>
        <w:tc>
          <w:tcPr>
            <w:tcW w:w="1208" w:type="dxa"/>
            <w:vAlign w:val="center"/>
          </w:tcPr>
          <w:p>
            <w:pPr>
              <w:jc w:val="center"/>
              <w:rPr>
                <w:rFonts w:ascii="宋体" w:hAnsi="宋体" w:cs="宋体"/>
                <w:color w:val="000000"/>
              </w:rPr>
            </w:pPr>
            <w:r>
              <w:rPr>
                <w:rFonts w:hint="eastAsia" w:ascii="宋体" w:hAnsi="宋体" w:cs="宋体"/>
                <w:color w:val="000000"/>
              </w:rPr>
              <w:t>安全维保</w:t>
            </w:r>
          </w:p>
        </w:tc>
        <w:tc>
          <w:tcPr>
            <w:tcW w:w="7599" w:type="dxa"/>
            <w:vAlign w:val="center"/>
          </w:tcPr>
          <w:p>
            <w:pPr>
              <w:jc w:val="left"/>
              <w:rPr>
                <w:rFonts w:ascii="宋体" w:hAnsi="宋体" w:cs="宋体"/>
                <w:color w:val="000000"/>
              </w:rPr>
            </w:pPr>
            <w:r>
              <w:rPr>
                <w:rFonts w:hint="eastAsia" w:ascii="宋体" w:hAnsi="宋体" w:cs="宋体"/>
                <w:color w:val="000000"/>
              </w:rPr>
              <w:t>维保人员应遵行安全管理的相关规定。</w:t>
            </w:r>
          </w:p>
        </w:tc>
        <w:tc>
          <w:tcPr>
            <w:tcW w:w="3544" w:type="dxa"/>
            <w:vAlign w:val="center"/>
          </w:tcPr>
          <w:p>
            <w:pPr>
              <w:jc w:val="left"/>
              <w:rPr>
                <w:rFonts w:ascii="宋体" w:hAnsi="宋体" w:cs="宋体"/>
                <w:color w:val="000000"/>
              </w:rPr>
            </w:pPr>
            <w:r>
              <w:rPr>
                <w:rFonts w:hint="eastAsia" w:ascii="宋体" w:hAnsi="宋体" w:cs="宋体"/>
                <w:color w:val="000000"/>
              </w:rPr>
              <w:t>未按要求执行到位，每次扣3分。</w:t>
            </w:r>
          </w:p>
        </w:tc>
        <w:tc>
          <w:tcPr>
            <w:tcW w:w="2478" w:type="dxa"/>
            <w:vAlign w:val="center"/>
          </w:tcPr>
          <w:p>
            <w:pPr>
              <w:jc w:val="left"/>
              <w:rPr>
                <w:rFonts w:ascii="宋体" w:hAnsi="宋体" w:cs="宋体"/>
                <w:color w:val="000000"/>
              </w:rPr>
            </w:pPr>
          </w:p>
        </w:tc>
        <w:tc>
          <w:tcPr>
            <w:tcW w:w="532" w:type="dxa"/>
            <w:vAlign w:val="center"/>
          </w:tcPr>
          <w:p>
            <w:pPr>
              <w:jc w:val="lef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817" w:type="dxa"/>
            <w:gridSpan w:val="4"/>
            <w:vAlign w:val="center"/>
          </w:tcPr>
          <w:p>
            <w:pPr>
              <w:rPr>
                <w:rFonts w:ascii="宋体" w:hAnsi="宋体" w:cs="宋体"/>
                <w:color w:val="000000"/>
              </w:rPr>
            </w:pPr>
            <w:r>
              <w:rPr>
                <w:rFonts w:hint="eastAsia" w:ascii="宋体" w:hAnsi="宋体" w:cs="宋体"/>
                <w:color w:val="000000"/>
              </w:rPr>
              <w:t>最终得分</w:t>
            </w:r>
          </w:p>
        </w:tc>
        <w:tc>
          <w:tcPr>
            <w:tcW w:w="2478" w:type="dxa"/>
            <w:vAlign w:val="center"/>
          </w:tcPr>
          <w:p>
            <w:pPr>
              <w:jc w:val="center"/>
              <w:rPr>
                <w:rFonts w:ascii="宋体" w:hAnsi="宋体" w:cs="宋体"/>
                <w:color w:val="000000"/>
              </w:rPr>
            </w:pPr>
          </w:p>
        </w:tc>
        <w:tc>
          <w:tcPr>
            <w:tcW w:w="532" w:type="dxa"/>
            <w:vAlign w:val="center"/>
          </w:tcPr>
          <w:p>
            <w:pPr>
              <w:rPr>
                <w:rFonts w:ascii="宋体" w:hAnsi="宋体" w:cs="宋体"/>
                <w:color w:val="000000"/>
              </w:rPr>
            </w:pPr>
          </w:p>
        </w:tc>
      </w:tr>
    </w:tbl>
    <w:p>
      <w:pPr>
        <w:spacing w:line="440" w:lineRule="exact"/>
        <w:jc w:val="center"/>
        <w:rPr>
          <w:rFonts w:ascii="宋体" w:hAnsi="宋体"/>
          <w:bCs/>
          <w:sz w:val="36"/>
          <w:szCs w:val="36"/>
        </w:rPr>
      </w:pPr>
      <w:r>
        <w:rPr>
          <w:rFonts w:hint="eastAsia" w:ascii="宋体" w:hAnsi="宋体" w:cs="宋体"/>
          <w:b/>
          <w:color w:val="000000"/>
        </w:rPr>
        <w:t xml:space="preserve">考 核 人 员：                                  </w:t>
      </w:r>
    </w:p>
    <w:p>
      <w:pPr>
        <w:rPr>
          <w:rFonts w:ascii="宋体" w:hAnsi="宋体" w:cs="楷体_GB2312"/>
          <w:b/>
          <w:bCs/>
          <w:sz w:val="32"/>
          <w:szCs w:val="32"/>
          <w:lang w:val="zh-CN"/>
        </w:rPr>
        <w:sectPr>
          <w:footerReference r:id="rId8" w:type="first"/>
          <w:headerReference r:id="rId5" w:type="default"/>
          <w:footerReference r:id="rId6" w:type="default"/>
          <w:footerReference r:id="rId7" w:type="even"/>
          <w:pgSz w:w="16838" w:h="11906" w:orient="landscape"/>
          <w:pgMar w:top="1418" w:right="1418" w:bottom="1418" w:left="1418" w:header="851" w:footer="907" w:gutter="0"/>
          <w:cols w:space="720" w:num="1"/>
          <w:titlePg/>
          <w:docGrid w:linePitch="290" w:charSpace="0"/>
        </w:sectPr>
      </w:pPr>
    </w:p>
    <w:p>
      <w:pPr>
        <w:spacing w:line="440" w:lineRule="exact"/>
        <w:jc w:val="left"/>
        <w:rPr>
          <w:rFonts w:ascii="宋体" w:hAnsi="宋体"/>
          <w:bCs/>
          <w:sz w:val="36"/>
          <w:szCs w:val="36"/>
        </w:rPr>
      </w:pPr>
      <w:r>
        <w:rPr>
          <w:rFonts w:hint="eastAsia" w:ascii="宋体" w:hAnsi="宋体" w:cs="宋体"/>
          <w:color w:val="000000"/>
        </w:rPr>
        <w:t>附表四</w:t>
      </w:r>
    </w:p>
    <w:p>
      <w:pPr>
        <w:jc w:val="center"/>
        <w:rPr>
          <w:szCs w:val="24"/>
        </w:rPr>
      </w:pPr>
      <w:r>
        <w:rPr>
          <w:rFonts w:hint="eastAsia"/>
          <w:b/>
          <w:bCs/>
          <w:sz w:val="44"/>
          <w:szCs w:val="44"/>
        </w:rPr>
        <w:t>消防系统易耗品清单</w:t>
      </w:r>
    </w:p>
    <w:tbl>
      <w:tblPr>
        <w:tblStyle w:val="120"/>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693"/>
        <w:gridCol w:w="1134"/>
        <w:gridCol w:w="2268"/>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68" w:type="dxa"/>
            <w:vAlign w:val="center"/>
          </w:tcPr>
          <w:p>
            <w:pPr>
              <w:spacing w:line="400" w:lineRule="exact"/>
              <w:jc w:val="center"/>
              <w:rPr>
                <w:rFonts w:ascii="宋体" w:hAnsi="宋体" w:cs="宋体"/>
              </w:rPr>
            </w:pPr>
            <w:r>
              <w:rPr>
                <w:rFonts w:hint="eastAsia" w:ascii="宋体" w:hAnsi="宋体" w:cs="宋体"/>
              </w:rPr>
              <w:t>序号</w:t>
            </w:r>
          </w:p>
        </w:tc>
        <w:tc>
          <w:tcPr>
            <w:tcW w:w="2693" w:type="dxa"/>
            <w:vAlign w:val="center"/>
          </w:tcPr>
          <w:p>
            <w:pPr>
              <w:spacing w:line="400" w:lineRule="exact"/>
              <w:jc w:val="center"/>
              <w:rPr>
                <w:rFonts w:ascii="宋体" w:hAnsi="宋体" w:cs="宋体"/>
              </w:rPr>
            </w:pPr>
            <w:r>
              <w:rPr>
                <w:rFonts w:hint="eastAsia" w:ascii="宋体" w:hAnsi="宋体" w:cs="宋体"/>
              </w:rPr>
              <w:t>产品名称</w:t>
            </w:r>
          </w:p>
        </w:tc>
        <w:tc>
          <w:tcPr>
            <w:tcW w:w="3402" w:type="dxa"/>
            <w:gridSpan w:val="2"/>
            <w:vAlign w:val="center"/>
          </w:tcPr>
          <w:p>
            <w:pPr>
              <w:spacing w:line="400" w:lineRule="exact"/>
              <w:jc w:val="center"/>
              <w:rPr>
                <w:rFonts w:ascii="宋体" w:hAnsi="宋体" w:cs="宋体"/>
              </w:rPr>
            </w:pPr>
            <w:r>
              <w:rPr>
                <w:rFonts w:hint="eastAsia" w:ascii="宋体" w:hAnsi="宋体" w:cs="宋体"/>
              </w:rPr>
              <w:t>型号</w:t>
            </w:r>
          </w:p>
        </w:tc>
        <w:tc>
          <w:tcPr>
            <w:tcW w:w="1276" w:type="dxa"/>
            <w:vAlign w:val="center"/>
          </w:tcPr>
          <w:p>
            <w:pPr>
              <w:spacing w:line="400" w:lineRule="exact"/>
              <w:jc w:val="center"/>
              <w:rPr>
                <w:rFonts w:ascii="宋体" w:hAnsi="宋体" w:cs="宋体"/>
              </w:rPr>
            </w:pPr>
            <w:r>
              <w:rPr>
                <w:rFonts w:hint="eastAsia" w:ascii="宋体" w:hAnsi="宋体" w:cs="宋体"/>
              </w:rPr>
              <w:t>数量</w:t>
            </w:r>
          </w:p>
        </w:tc>
        <w:tc>
          <w:tcPr>
            <w:tcW w:w="1417" w:type="dxa"/>
            <w:vAlign w:val="center"/>
          </w:tcPr>
          <w:p>
            <w:pPr>
              <w:spacing w:line="400" w:lineRule="exact"/>
              <w:jc w:val="center"/>
              <w:rPr>
                <w:rFonts w:ascii="宋体" w:hAnsi="宋体" w:cs="宋体"/>
              </w:rPr>
            </w:pPr>
            <w:r>
              <w:rPr>
                <w:rFonts w:hint="eastAsia" w:ascii="宋体" w:hAnsi="宋体" w:cs="宋体"/>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Merge w:val="restart"/>
            <w:shd w:val="clear" w:color="auto" w:fill="FFFFFF"/>
            <w:vAlign w:val="center"/>
          </w:tcPr>
          <w:p>
            <w:pPr>
              <w:numPr>
                <w:ilvl w:val="0"/>
                <w:numId w:val="5"/>
              </w:numPr>
              <w:tabs>
                <w:tab w:val="left" w:pos="420"/>
              </w:tabs>
              <w:spacing w:line="400" w:lineRule="exact"/>
              <w:jc w:val="center"/>
              <w:rPr>
                <w:rFonts w:ascii="宋体" w:hAnsi="宋体" w:cs="宋体"/>
              </w:rPr>
            </w:pPr>
          </w:p>
        </w:tc>
        <w:tc>
          <w:tcPr>
            <w:tcW w:w="2693" w:type="dxa"/>
            <w:vMerge w:val="restart"/>
            <w:shd w:val="clear" w:color="auto" w:fill="FFFFFF"/>
            <w:vAlign w:val="center"/>
          </w:tcPr>
          <w:p>
            <w:pPr>
              <w:spacing w:line="400" w:lineRule="exact"/>
              <w:jc w:val="center"/>
              <w:rPr>
                <w:rFonts w:ascii="宋体" w:hAnsi="宋体" w:cs="宋体"/>
              </w:rPr>
            </w:pPr>
            <w:r>
              <w:rPr>
                <w:rFonts w:hint="eastAsia" w:ascii="宋体" w:hAnsi="宋体" w:cs="宋体"/>
              </w:rPr>
              <w:t>输入模块</w:t>
            </w:r>
          </w:p>
        </w:tc>
        <w:tc>
          <w:tcPr>
            <w:tcW w:w="1134" w:type="dxa"/>
            <w:shd w:val="clear" w:color="auto" w:fill="FFFFFF"/>
            <w:vAlign w:val="center"/>
          </w:tcPr>
          <w:p>
            <w:pPr>
              <w:spacing w:line="400" w:lineRule="exact"/>
              <w:jc w:val="center"/>
              <w:rPr>
                <w:rFonts w:ascii="宋体" w:hAnsi="宋体" w:cs="宋体"/>
              </w:rPr>
            </w:pPr>
            <w:r>
              <w:rPr>
                <w:rFonts w:hint="eastAsia" w:ascii="宋体" w:hAnsi="宋体" w:cs="宋体"/>
              </w:rPr>
              <w:t>河马</w:t>
            </w:r>
          </w:p>
        </w:tc>
        <w:tc>
          <w:tcPr>
            <w:tcW w:w="2268" w:type="dxa"/>
            <w:shd w:val="clear" w:color="auto" w:fill="FFFFFF"/>
            <w:vAlign w:val="center"/>
          </w:tcPr>
          <w:p>
            <w:pPr>
              <w:spacing w:line="400" w:lineRule="exact"/>
              <w:jc w:val="center"/>
              <w:rPr>
                <w:rFonts w:ascii="宋体" w:hAnsi="宋体" w:cs="宋体"/>
              </w:rPr>
            </w:pPr>
            <w:r>
              <w:rPr>
                <w:rFonts w:hint="eastAsia" w:ascii="宋体" w:hAnsi="宋体" w:cs="宋体"/>
              </w:rPr>
              <w:t>TB-SR-HM8</w:t>
            </w:r>
          </w:p>
        </w:tc>
        <w:tc>
          <w:tcPr>
            <w:tcW w:w="1276" w:type="dxa"/>
            <w:shd w:val="clear" w:color="auto" w:fill="FFFFFF"/>
            <w:vAlign w:val="center"/>
          </w:tcPr>
          <w:p>
            <w:pPr>
              <w:spacing w:line="400" w:lineRule="exact"/>
              <w:jc w:val="center"/>
              <w:rPr>
                <w:rFonts w:ascii="宋体" w:hAnsi="宋体" w:cs="宋体"/>
              </w:rPr>
            </w:pPr>
            <w:r>
              <w:rPr>
                <w:rFonts w:hint="eastAsia" w:ascii="宋体" w:hAnsi="宋体" w:cs="宋体"/>
              </w:rPr>
              <w:t>1</w:t>
            </w:r>
          </w:p>
        </w:tc>
        <w:tc>
          <w:tcPr>
            <w:tcW w:w="1417" w:type="dxa"/>
            <w:shd w:val="clear" w:color="auto" w:fill="FFFFFF"/>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Merge w:val="continue"/>
            <w:shd w:val="clear" w:color="auto" w:fill="FFFFFF"/>
            <w:vAlign w:val="center"/>
          </w:tcPr>
          <w:p>
            <w:pPr>
              <w:numPr>
                <w:ilvl w:val="0"/>
                <w:numId w:val="5"/>
              </w:numPr>
              <w:tabs>
                <w:tab w:val="left" w:pos="420"/>
              </w:tabs>
              <w:spacing w:line="400" w:lineRule="exact"/>
              <w:jc w:val="center"/>
              <w:rPr>
                <w:rFonts w:ascii="宋体" w:hAnsi="宋体" w:cs="宋体"/>
              </w:rPr>
            </w:pPr>
          </w:p>
        </w:tc>
        <w:tc>
          <w:tcPr>
            <w:tcW w:w="2693" w:type="dxa"/>
            <w:vMerge w:val="continue"/>
            <w:shd w:val="clear" w:color="auto" w:fill="FFFFFF"/>
            <w:vAlign w:val="center"/>
          </w:tcPr>
          <w:p>
            <w:pPr>
              <w:spacing w:line="400" w:lineRule="exact"/>
              <w:jc w:val="center"/>
              <w:rPr>
                <w:rFonts w:ascii="宋体" w:hAnsi="宋体" w:cs="宋体"/>
              </w:rPr>
            </w:pPr>
          </w:p>
        </w:tc>
        <w:tc>
          <w:tcPr>
            <w:tcW w:w="1134" w:type="dxa"/>
            <w:shd w:val="clear" w:color="auto" w:fill="FFFFFF"/>
            <w:vAlign w:val="center"/>
          </w:tcPr>
          <w:p>
            <w:pPr>
              <w:spacing w:line="400" w:lineRule="exact"/>
              <w:jc w:val="center"/>
              <w:rPr>
                <w:rFonts w:ascii="宋体" w:hAnsi="宋体" w:cs="宋体"/>
              </w:rPr>
            </w:pPr>
            <w:r>
              <w:rPr>
                <w:rFonts w:hint="eastAsia" w:ascii="宋体" w:hAnsi="宋体" w:cs="宋体"/>
              </w:rPr>
              <w:t>松江</w:t>
            </w:r>
          </w:p>
        </w:tc>
        <w:tc>
          <w:tcPr>
            <w:tcW w:w="2268" w:type="dxa"/>
            <w:shd w:val="clear" w:color="auto" w:fill="FFFFFF"/>
            <w:vAlign w:val="center"/>
          </w:tcPr>
          <w:p>
            <w:pPr>
              <w:spacing w:line="400" w:lineRule="exact"/>
              <w:jc w:val="center"/>
              <w:rPr>
                <w:rFonts w:ascii="宋体" w:hAnsi="宋体" w:cs="宋体"/>
              </w:rPr>
            </w:pPr>
            <w:r>
              <w:rPr>
                <w:rFonts w:hint="eastAsia" w:ascii="宋体" w:hAnsi="宋体" w:cs="宋体"/>
              </w:rPr>
              <w:t>HJ-9502</w:t>
            </w:r>
          </w:p>
        </w:tc>
        <w:tc>
          <w:tcPr>
            <w:tcW w:w="1276" w:type="dxa"/>
            <w:shd w:val="clear" w:color="auto" w:fill="FFFFFF"/>
            <w:vAlign w:val="center"/>
          </w:tcPr>
          <w:p>
            <w:pPr>
              <w:spacing w:line="400" w:lineRule="exact"/>
              <w:jc w:val="center"/>
              <w:rPr>
                <w:rFonts w:ascii="宋体" w:hAnsi="宋体" w:cs="宋体"/>
              </w:rPr>
            </w:pPr>
            <w:r>
              <w:rPr>
                <w:rFonts w:hint="eastAsia" w:ascii="宋体" w:hAnsi="宋体" w:cs="宋体"/>
              </w:rPr>
              <w:t>1</w:t>
            </w:r>
          </w:p>
        </w:tc>
        <w:tc>
          <w:tcPr>
            <w:tcW w:w="1417" w:type="dxa"/>
            <w:shd w:val="clear" w:color="auto" w:fill="FFFFFF"/>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Merge w:val="restart"/>
            <w:shd w:val="clear" w:color="auto" w:fill="FFFFFF"/>
            <w:vAlign w:val="center"/>
          </w:tcPr>
          <w:p>
            <w:pPr>
              <w:numPr>
                <w:ilvl w:val="0"/>
                <w:numId w:val="5"/>
              </w:numPr>
              <w:tabs>
                <w:tab w:val="left" w:pos="420"/>
              </w:tabs>
              <w:spacing w:line="400" w:lineRule="exact"/>
              <w:jc w:val="center"/>
              <w:rPr>
                <w:rFonts w:ascii="宋体" w:hAnsi="宋体" w:cs="宋体"/>
              </w:rPr>
            </w:pPr>
          </w:p>
        </w:tc>
        <w:tc>
          <w:tcPr>
            <w:tcW w:w="2693" w:type="dxa"/>
            <w:vMerge w:val="restart"/>
            <w:shd w:val="clear" w:color="auto" w:fill="FFFFFF"/>
            <w:vAlign w:val="center"/>
          </w:tcPr>
          <w:p>
            <w:pPr>
              <w:spacing w:line="400" w:lineRule="exact"/>
              <w:jc w:val="center"/>
              <w:rPr>
                <w:rFonts w:ascii="宋体" w:hAnsi="宋体" w:cs="宋体"/>
              </w:rPr>
            </w:pPr>
            <w:r>
              <w:rPr>
                <w:rFonts w:hint="eastAsia" w:ascii="宋体" w:hAnsi="宋体" w:cs="宋体"/>
              </w:rPr>
              <w:t>输入输出模块</w:t>
            </w:r>
          </w:p>
        </w:tc>
        <w:tc>
          <w:tcPr>
            <w:tcW w:w="1134" w:type="dxa"/>
            <w:shd w:val="clear" w:color="auto" w:fill="FFFFFF"/>
            <w:vAlign w:val="center"/>
          </w:tcPr>
          <w:p>
            <w:pPr>
              <w:spacing w:line="400" w:lineRule="exact"/>
              <w:jc w:val="center"/>
              <w:rPr>
                <w:rFonts w:ascii="宋体" w:hAnsi="宋体" w:cs="宋体"/>
              </w:rPr>
            </w:pPr>
            <w:r>
              <w:rPr>
                <w:rFonts w:hint="eastAsia" w:ascii="宋体" w:hAnsi="宋体" w:cs="宋体"/>
              </w:rPr>
              <w:t>河马</w:t>
            </w:r>
          </w:p>
        </w:tc>
        <w:tc>
          <w:tcPr>
            <w:tcW w:w="2268" w:type="dxa"/>
            <w:shd w:val="clear" w:color="auto" w:fill="FFFFFF"/>
            <w:vAlign w:val="center"/>
          </w:tcPr>
          <w:p>
            <w:pPr>
              <w:spacing w:line="400" w:lineRule="exact"/>
              <w:jc w:val="center"/>
              <w:rPr>
                <w:rFonts w:ascii="宋体" w:hAnsi="宋体" w:cs="宋体"/>
              </w:rPr>
            </w:pPr>
            <w:r>
              <w:rPr>
                <w:rFonts w:hint="eastAsia" w:ascii="宋体" w:hAnsi="宋体" w:cs="宋体"/>
              </w:rPr>
              <w:t>TB-SR/C-HM8</w:t>
            </w:r>
          </w:p>
        </w:tc>
        <w:tc>
          <w:tcPr>
            <w:tcW w:w="1276" w:type="dxa"/>
            <w:shd w:val="clear" w:color="auto" w:fill="FFFFFF"/>
            <w:vAlign w:val="center"/>
          </w:tcPr>
          <w:p>
            <w:pPr>
              <w:spacing w:line="400" w:lineRule="exact"/>
              <w:jc w:val="center"/>
              <w:rPr>
                <w:rFonts w:ascii="宋体" w:hAnsi="宋体" w:cs="宋体"/>
              </w:rPr>
            </w:pPr>
            <w:r>
              <w:rPr>
                <w:rFonts w:hint="eastAsia" w:ascii="宋体" w:hAnsi="宋体" w:cs="宋体"/>
              </w:rPr>
              <w:t>1</w:t>
            </w:r>
          </w:p>
        </w:tc>
        <w:tc>
          <w:tcPr>
            <w:tcW w:w="1417" w:type="dxa"/>
            <w:shd w:val="clear" w:color="auto" w:fill="FFFFFF"/>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Merge w:val="continue"/>
            <w:shd w:val="clear" w:color="auto" w:fill="FFFFFF"/>
            <w:vAlign w:val="center"/>
          </w:tcPr>
          <w:p>
            <w:pPr>
              <w:numPr>
                <w:ilvl w:val="0"/>
                <w:numId w:val="5"/>
              </w:numPr>
              <w:tabs>
                <w:tab w:val="left" w:pos="420"/>
              </w:tabs>
              <w:spacing w:line="400" w:lineRule="exact"/>
              <w:jc w:val="center"/>
              <w:rPr>
                <w:rFonts w:ascii="宋体" w:hAnsi="宋体" w:cs="宋体"/>
              </w:rPr>
            </w:pPr>
          </w:p>
        </w:tc>
        <w:tc>
          <w:tcPr>
            <w:tcW w:w="2693" w:type="dxa"/>
            <w:vMerge w:val="continue"/>
            <w:shd w:val="clear" w:color="auto" w:fill="FFFFFF"/>
            <w:vAlign w:val="center"/>
          </w:tcPr>
          <w:p>
            <w:pPr>
              <w:spacing w:line="400" w:lineRule="exact"/>
              <w:jc w:val="center"/>
              <w:rPr>
                <w:rFonts w:ascii="宋体" w:hAnsi="宋体" w:cs="宋体"/>
              </w:rPr>
            </w:pPr>
          </w:p>
        </w:tc>
        <w:tc>
          <w:tcPr>
            <w:tcW w:w="1134" w:type="dxa"/>
            <w:shd w:val="clear" w:color="auto" w:fill="FFFFFF"/>
            <w:vAlign w:val="center"/>
          </w:tcPr>
          <w:p>
            <w:pPr>
              <w:spacing w:line="400" w:lineRule="exact"/>
              <w:jc w:val="center"/>
              <w:rPr>
                <w:rFonts w:ascii="宋体" w:hAnsi="宋体" w:cs="宋体"/>
              </w:rPr>
            </w:pPr>
            <w:r>
              <w:rPr>
                <w:rFonts w:hint="eastAsia" w:ascii="宋体" w:hAnsi="宋体" w:cs="宋体"/>
              </w:rPr>
              <w:t>松江</w:t>
            </w:r>
          </w:p>
        </w:tc>
        <w:tc>
          <w:tcPr>
            <w:tcW w:w="2268" w:type="dxa"/>
            <w:shd w:val="clear" w:color="auto" w:fill="FFFFFF"/>
            <w:vAlign w:val="center"/>
          </w:tcPr>
          <w:p>
            <w:pPr>
              <w:spacing w:line="400" w:lineRule="exact"/>
              <w:jc w:val="center"/>
              <w:rPr>
                <w:rFonts w:ascii="宋体" w:hAnsi="宋体" w:cs="宋体"/>
              </w:rPr>
            </w:pPr>
            <w:r>
              <w:rPr>
                <w:rFonts w:hint="eastAsia" w:ascii="宋体" w:hAnsi="宋体" w:cs="宋体"/>
              </w:rPr>
              <w:t>HJ-9501</w:t>
            </w:r>
          </w:p>
        </w:tc>
        <w:tc>
          <w:tcPr>
            <w:tcW w:w="1276" w:type="dxa"/>
            <w:shd w:val="clear" w:color="auto" w:fill="FFFFFF"/>
            <w:vAlign w:val="center"/>
          </w:tcPr>
          <w:p>
            <w:pPr>
              <w:spacing w:line="400" w:lineRule="exact"/>
              <w:jc w:val="center"/>
              <w:rPr>
                <w:rFonts w:ascii="宋体" w:hAnsi="宋体" w:cs="宋体"/>
              </w:rPr>
            </w:pPr>
            <w:r>
              <w:rPr>
                <w:rFonts w:hint="eastAsia" w:ascii="宋体" w:hAnsi="宋体" w:cs="宋体"/>
              </w:rPr>
              <w:t>1</w:t>
            </w:r>
          </w:p>
        </w:tc>
        <w:tc>
          <w:tcPr>
            <w:tcW w:w="1417" w:type="dxa"/>
            <w:shd w:val="clear" w:color="auto" w:fill="FFFFFF"/>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Merge w:val="restart"/>
            <w:shd w:val="clear" w:color="auto" w:fill="FFFFFF"/>
            <w:vAlign w:val="center"/>
          </w:tcPr>
          <w:p>
            <w:pPr>
              <w:numPr>
                <w:ilvl w:val="0"/>
                <w:numId w:val="5"/>
              </w:numPr>
              <w:tabs>
                <w:tab w:val="left" w:pos="420"/>
              </w:tabs>
              <w:spacing w:line="400" w:lineRule="exact"/>
              <w:jc w:val="center"/>
              <w:rPr>
                <w:rFonts w:ascii="宋体" w:hAnsi="宋体" w:cs="宋体"/>
              </w:rPr>
            </w:pPr>
          </w:p>
        </w:tc>
        <w:tc>
          <w:tcPr>
            <w:tcW w:w="2693" w:type="dxa"/>
            <w:vMerge w:val="restart"/>
            <w:shd w:val="clear" w:color="auto" w:fill="FFFFFF"/>
            <w:vAlign w:val="center"/>
          </w:tcPr>
          <w:p>
            <w:pPr>
              <w:spacing w:line="400" w:lineRule="exact"/>
              <w:jc w:val="center"/>
              <w:rPr>
                <w:rFonts w:ascii="宋体" w:hAnsi="宋体" w:cs="宋体"/>
              </w:rPr>
            </w:pPr>
            <w:r>
              <w:rPr>
                <w:rFonts w:hint="eastAsia" w:ascii="宋体" w:hAnsi="宋体" w:cs="宋体"/>
              </w:rPr>
              <w:t>点型光电感烟火灾探测器</w:t>
            </w:r>
          </w:p>
        </w:tc>
        <w:tc>
          <w:tcPr>
            <w:tcW w:w="1134" w:type="dxa"/>
            <w:shd w:val="clear" w:color="auto" w:fill="FFFFFF"/>
            <w:vAlign w:val="center"/>
          </w:tcPr>
          <w:p>
            <w:pPr>
              <w:spacing w:line="400" w:lineRule="exact"/>
              <w:jc w:val="center"/>
              <w:rPr>
                <w:rFonts w:ascii="宋体" w:hAnsi="宋体" w:cs="宋体"/>
              </w:rPr>
            </w:pPr>
            <w:r>
              <w:rPr>
                <w:rFonts w:hint="eastAsia" w:ascii="宋体" w:hAnsi="宋体" w:cs="宋体"/>
              </w:rPr>
              <w:t>河马</w:t>
            </w:r>
          </w:p>
        </w:tc>
        <w:tc>
          <w:tcPr>
            <w:tcW w:w="2268" w:type="dxa"/>
            <w:shd w:val="clear" w:color="auto" w:fill="FFFFFF"/>
            <w:vAlign w:val="center"/>
          </w:tcPr>
          <w:p>
            <w:pPr>
              <w:spacing w:line="400" w:lineRule="exact"/>
              <w:jc w:val="center"/>
              <w:rPr>
                <w:rFonts w:ascii="宋体" w:hAnsi="宋体" w:cs="宋体"/>
              </w:rPr>
            </w:pPr>
            <w:r>
              <w:rPr>
                <w:rFonts w:hint="eastAsia" w:ascii="宋体" w:hAnsi="宋体" w:cs="宋体"/>
              </w:rPr>
              <w:t>JTY-GM-HMB</w:t>
            </w:r>
          </w:p>
        </w:tc>
        <w:tc>
          <w:tcPr>
            <w:tcW w:w="1276" w:type="dxa"/>
            <w:shd w:val="clear" w:color="auto" w:fill="FFFFFF"/>
            <w:vAlign w:val="center"/>
          </w:tcPr>
          <w:p>
            <w:pPr>
              <w:spacing w:line="400" w:lineRule="exact"/>
              <w:jc w:val="center"/>
              <w:rPr>
                <w:rFonts w:ascii="宋体" w:hAnsi="宋体" w:cs="宋体"/>
              </w:rPr>
            </w:pPr>
            <w:r>
              <w:rPr>
                <w:rFonts w:hint="eastAsia" w:ascii="宋体" w:hAnsi="宋体" w:cs="宋体"/>
              </w:rPr>
              <w:t>1</w:t>
            </w:r>
          </w:p>
        </w:tc>
        <w:tc>
          <w:tcPr>
            <w:tcW w:w="1417" w:type="dxa"/>
            <w:shd w:val="clear" w:color="auto" w:fill="FFFFFF"/>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Merge w:val="continue"/>
            <w:shd w:val="clear" w:color="auto" w:fill="FFFFFF"/>
            <w:vAlign w:val="center"/>
          </w:tcPr>
          <w:p>
            <w:pPr>
              <w:numPr>
                <w:ilvl w:val="0"/>
                <w:numId w:val="5"/>
              </w:numPr>
              <w:tabs>
                <w:tab w:val="left" w:pos="420"/>
              </w:tabs>
              <w:spacing w:line="400" w:lineRule="exact"/>
              <w:jc w:val="center"/>
              <w:rPr>
                <w:rFonts w:ascii="宋体" w:hAnsi="宋体" w:cs="宋体"/>
              </w:rPr>
            </w:pPr>
          </w:p>
        </w:tc>
        <w:tc>
          <w:tcPr>
            <w:tcW w:w="2693" w:type="dxa"/>
            <w:vMerge w:val="continue"/>
            <w:shd w:val="clear" w:color="auto" w:fill="FFFFFF"/>
            <w:vAlign w:val="center"/>
          </w:tcPr>
          <w:p>
            <w:pPr>
              <w:spacing w:line="400" w:lineRule="exact"/>
              <w:jc w:val="center"/>
              <w:rPr>
                <w:rFonts w:ascii="宋体" w:hAnsi="宋体" w:cs="宋体"/>
              </w:rPr>
            </w:pPr>
          </w:p>
        </w:tc>
        <w:tc>
          <w:tcPr>
            <w:tcW w:w="1134" w:type="dxa"/>
            <w:shd w:val="clear" w:color="auto" w:fill="FFFFFF"/>
            <w:vAlign w:val="center"/>
          </w:tcPr>
          <w:p>
            <w:pPr>
              <w:spacing w:line="400" w:lineRule="exact"/>
              <w:jc w:val="center"/>
              <w:rPr>
                <w:rFonts w:ascii="宋体" w:hAnsi="宋体" w:cs="宋体"/>
              </w:rPr>
            </w:pPr>
            <w:r>
              <w:rPr>
                <w:rFonts w:hint="eastAsia" w:ascii="宋体" w:hAnsi="宋体" w:cs="宋体"/>
              </w:rPr>
              <w:t>松江</w:t>
            </w:r>
          </w:p>
        </w:tc>
        <w:tc>
          <w:tcPr>
            <w:tcW w:w="2268" w:type="dxa"/>
            <w:shd w:val="clear" w:color="auto" w:fill="FFFFFF"/>
            <w:vAlign w:val="center"/>
          </w:tcPr>
          <w:p>
            <w:pPr>
              <w:spacing w:line="400" w:lineRule="exact"/>
              <w:jc w:val="center"/>
              <w:rPr>
                <w:rFonts w:ascii="宋体" w:hAnsi="宋体" w:cs="宋体"/>
              </w:rPr>
            </w:pPr>
            <w:r>
              <w:rPr>
                <w:rFonts w:hint="eastAsia" w:ascii="宋体" w:hAnsi="宋体" w:cs="宋体"/>
              </w:rPr>
              <w:t>JTY-QD-3002C</w:t>
            </w:r>
          </w:p>
        </w:tc>
        <w:tc>
          <w:tcPr>
            <w:tcW w:w="1276" w:type="dxa"/>
            <w:shd w:val="clear" w:color="auto" w:fill="FFFFFF"/>
            <w:vAlign w:val="center"/>
          </w:tcPr>
          <w:p>
            <w:pPr>
              <w:spacing w:line="400" w:lineRule="exact"/>
              <w:jc w:val="center"/>
              <w:rPr>
                <w:rFonts w:ascii="宋体" w:hAnsi="宋体" w:cs="宋体"/>
              </w:rPr>
            </w:pPr>
            <w:r>
              <w:rPr>
                <w:rFonts w:hint="eastAsia" w:ascii="宋体" w:hAnsi="宋体" w:cs="宋体"/>
              </w:rPr>
              <w:t>1</w:t>
            </w:r>
          </w:p>
        </w:tc>
        <w:tc>
          <w:tcPr>
            <w:tcW w:w="1417" w:type="dxa"/>
            <w:shd w:val="clear" w:color="auto" w:fill="FFFFFF"/>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Merge w:val="restart"/>
            <w:shd w:val="clear" w:color="auto" w:fill="FFFFFF"/>
            <w:vAlign w:val="center"/>
          </w:tcPr>
          <w:p>
            <w:pPr>
              <w:numPr>
                <w:ilvl w:val="0"/>
                <w:numId w:val="5"/>
              </w:numPr>
              <w:tabs>
                <w:tab w:val="left" w:pos="420"/>
              </w:tabs>
              <w:spacing w:line="400" w:lineRule="exact"/>
              <w:jc w:val="center"/>
              <w:rPr>
                <w:rFonts w:ascii="宋体" w:hAnsi="宋体" w:cs="宋体"/>
              </w:rPr>
            </w:pPr>
          </w:p>
        </w:tc>
        <w:tc>
          <w:tcPr>
            <w:tcW w:w="2693" w:type="dxa"/>
            <w:vMerge w:val="restart"/>
            <w:shd w:val="clear" w:color="auto" w:fill="FFFFFF"/>
            <w:vAlign w:val="center"/>
          </w:tcPr>
          <w:p>
            <w:pPr>
              <w:spacing w:line="400" w:lineRule="exact"/>
              <w:jc w:val="center"/>
              <w:rPr>
                <w:rFonts w:ascii="宋体" w:hAnsi="宋体" w:cs="宋体"/>
              </w:rPr>
            </w:pPr>
            <w:r>
              <w:rPr>
                <w:rFonts w:hint="eastAsia" w:ascii="宋体" w:hAnsi="宋体" w:cs="宋体"/>
              </w:rPr>
              <w:t>点型感温火灾探测器</w:t>
            </w:r>
          </w:p>
        </w:tc>
        <w:tc>
          <w:tcPr>
            <w:tcW w:w="1134" w:type="dxa"/>
            <w:shd w:val="clear" w:color="auto" w:fill="FFFFFF"/>
            <w:vAlign w:val="center"/>
          </w:tcPr>
          <w:p>
            <w:pPr>
              <w:spacing w:line="400" w:lineRule="exact"/>
              <w:jc w:val="center"/>
              <w:rPr>
                <w:rFonts w:ascii="宋体" w:hAnsi="宋体" w:cs="宋体"/>
              </w:rPr>
            </w:pPr>
            <w:r>
              <w:rPr>
                <w:rFonts w:hint="eastAsia" w:ascii="宋体" w:hAnsi="宋体" w:cs="宋体"/>
              </w:rPr>
              <w:t>河马</w:t>
            </w:r>
          </w:p>
        </w:tc>
        <w:tc>
          <w:tcPr>
            <w:tcW w:w="2268" w:type="dxa"/>
            <w:shd w:val="clear" w:color="auto" w:fill="FFFFFF"/>
            <w:vAlign w:val="center"/>
          </w:tcPr>
          <w:p>
            <w:pPr>
              <w:spacing w:line="400" w:lineRule="exact"/>
              <w:jc w:val="center"/>
              <w:rPr>
                <w:rFonts w:ascii="宋体" w:hAnsi="宋体" w:cs="宋体"/>
              </w:rPr>
            </w:pPr>
            <w:r>
              <w:rPr>
                <w:rFonts w:hint="eastAsia" w:ascii="宋体" w:hAnsi="宋体" w:cs="宋体"/>
              </w:rPr>
              <w:t>JTW-GM-HMB</w:t>
            </w:r>
          </w:p>
        </w:tc>
        <w:tc>
          <w:tcPr>
            <w:tcW w:w="1276" w:type="dxa"/>
            <w:shd w:val="clear" w:color="auto" w:fill="FFFFFF"/>
            <w:vAlign w:val="center"/>
          </w:tcPr>
          <w:p>
            <w:pPr>
              <w:spacing w:line="400" w:lineRule="exact"/>
              <w:jc w:val="center"/>
              <w:rPr>
                <w:rFonts w:ascii="宋体" w:hAnsi="宋体" w:cs="宋体"/>
              </w:rPr>
            </w:pPr>
            <w:r>
              <w:rPr>
                <w:rFonts w:hint="eastAsia" w:ascii="宋体" w:hAnsi="宋体" w:cs="宋体"/>
              </w:rPr>
              <w:t>1</w:t>
            </w:r>
          </w:p>
        </w:tc>
        <w:tc>
          <w:tcPr>
            <w:tcW w:w="1417" w:type="dxa"/>
            <w:shd w:val="clear" w:color="auto" w:fill="FFFFFF"/>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Merge w:val="continue"/>
            <w:shd w:val="clear" w:color="auto" w:fill="FFFFFF"/>
            <w:vAlign w:val="center"/>
          </w:tcPr>
          <w:p>
            <w:pPr>
              <w:numPr>
                <w:ilvl w:val="0"/>
                <w:numId w:val="5"/>
              </w:numPr>
              <w:tabs>
                <w:tab w:val="left" w:pos="420"/>
              </w:tabs>
              <w:spacing w:line="400" w:lineRule="exact"/>
              <w:jc w:val="center"/>
              <w:rPr>
                <w:rFonts w:ascii="宋体" w:hAnsi="宋体" w:cs="宋体"/>
              </w:rPr>
            </w:pPr>
          </w:p>
        </w:tc>
        <w:tc>
          <w:tcPr>
            <w:tcW w:w="2693" w:type="dxa"/>
            <w:vMerge w:val="continue"/>
            <w:shd w:val="clear" w:color="auto" w:fill="FFFFFF"/>
            <w:vAlign w:val="center"/>
          </w:tcPr>
          <w:p>
            <w:pPr>
              <w:spacing w:line="400" w:lineRule="exact"/>
              <w:jc w:val="center"/>
              <w:rPr>
                <w:rFonts w:ascii="宋体" w:hAnsi="宋体" w:cs="宋体"/>
              </w:rPr>
            </w:pPr>
          </w:p>
        </w:tc>
        <w:tc>
          <w:tcPr>
            <w:tcW w:w="1134" w:type="dxa"/>
            <w:shd w:val="clear" w:color="auto" w:fill="FFFFFF"/>
            <w:vAlign w:val="center"/>
          </w:tcPr>
          <w:p>
            <w:pPr>
              <w:spacing w:line="400" w:lineRule="exact"/>
              <w:jc w:val="center"/>
              <w:rPr>
                <w:rFonts w:ascii="宋体" w:hAnsi="宋体" w:cs="宋体"/>
              </w:rPr>
            </w:pPr>
            <w:r>
              <w:rPr>
                <w:rFonts w:hint="eastAsia" w:ascii="宋体" w:hAnsi="宋体" w:cs="宋体"/>
              </w:rPr>
              <w:t>松江</w:t>
            </w:r>
          </w:p>
        </w:tc>
        <w:tc>
          <w:tcPr>
            <w:tcW w:w="2268" w:type="dxa"/>
            <w:shd w:val="clear" w:color="auto" w:fill="FFFFFF"/>
            <w:vAlign w:val="center"/>
          </w:tcPr>
          <w:p>
            <w:pPr>
              <w:spacing w:line="400" w:lineRule="exact"/>
              <w:jc w:val="center"/>
              <w:rPr>
                <w:rFonts w:ascii="宋体" w:hAnsi="宋体" w:cs="宋体"/>
              </w:rPr>
            </w:pPr>
            <w:r>
              <w:rPr>
                <w:rFonts w:hint="eastAsia" w:ascii="宋体" w:hAnsi="宋体" w:cs="宋体"/>
              </w:rPr>
              <w:t>JTW-BCD-3005A</w:t>
            </w:r>
          </w:p>
        </w:tc>
        <w:tc>
          <w:tcPr>
            <w:tcW w:w="1276" w:type="dxa"/>
            <w:shd w:val="clear" w:color="auto" w:fill="FFFFFF"/>
            <w:vAlign w:val="center"/>
          </w:tcPr>
          <w:p>
            <w:pPr>
              <w:spacing w:line="400" w:lineRule="exact"/>
              <w:jc w:val="center"/>
              <w:rPr>
                <w:rFonts w:ascii="宋体" w:hAnsi="宋体" w:cs="宋体"/>
              </w:rPr>
            </w:pPr>
            <w:r>
              <w:rPr>
                <w:rFonts w:hint="eastAsia" w:ascii="宋体" w:hAnsi="宋体" w:cs="宋体"/>
              </w:rPr>
              <w:t>1</w:t>
            </w:r>
          </w:p>
        </w:tc>
        <w:tc>
          <w:tcPr>
            <w:tcW w:w="1417" w:type="dxa"/>
            <w:shd w:val="clear" w:color="auto" w:fill="FFFFFF"/>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Merge w:val="restart"/>
            <w:shd w:val="clear" w:color="auto" w:fill="FFFFFF"/>
            <w:vAlign w:val="center"/>
          </w:tcPr>
          <w:p>
            <w:pPr>
              <w:numPr>
                <w:ilvl w:val="0"/>
                <w:numId w:val="5"/>
              </w:numPr>
              <w:tabs>
                <w:tab w:val="left" w:pos="420"/>
              </w:tabs>
              <w:spacing w:line="400" w:lineRule="exact"/>
              <w:jc w:val="center"/>
              <w:rPr>
                <w:rFonts w:ascii="宋体" w:hAnsi="宋体" w:cs="宋体"/>
              </w:rPr>
            </w:pPr>
          </w:p>
        </w:tc>
        <w:tc>
          <w:tcPr>
            <w:tcW w:w="2693" w:type="dxa"/>
            <w:vMerge w:val="restart"/>
            <w:shd w:val="clear" w:color="auto" w:fill="FFFFFF"/>
            <w:vAlign w:val="center"/>
          </w:tcPr>
          <w:p>
            <w:pPr>
              <w:spacing w:line="400" w:lineRule="exact"/>
              <w:jc w:val="center"/>
              <w:rPr>
                <w:rFonts w:ascii="宋体" w:hAnsi="宋体" w:cs="宋体"/>
              </w:rPr>
            </w:pPr>
            <w:r>
              <w:rPr>
                <w:rFonts w:hint="eastAsia" w:ascii="宋体" w:hAnsi="宋体" w:cs="宋体"/>
              </w:rPr>
              <w:t>线型光束感烟火灾探测器</w:t>
            </w:r>
          </w:p>
        </w:tc>
        <w:tc>
          <w:tcPr>
            <w:tcW w:w="1134" w:type="dxa"/>
            <w:shd w:val="clear" w:color="auto" w:fill="FFFFFF"/>
            <w:vAlign w:val="center"/>
          </w:tcPr>
          <w:p>
            <w:pPr>
              <w:spacing w:line="400" w:lineRule="exact"/>
              <w:jc w:val="center"/>
              <w:rPr>
                <w:rFonts w:ascii="宋体" w:hAnsi="宋体" w:cs="宋体"/>
              </w:rPr>
            </w:pPr>
            <w:r>
              <w:rPr>
                <w:rFonts w:hint="eastAsia" w:ascii="宋体" w:hAnsi="宋体" w:cs="宋体"/>
              </w:rPr>
              <w:t>河马</w:t>
            </w:r>
          </w:p>
        </w:tc>
        <w:tc>
          <w:tcPr>
            <w:tcW w:w="2268" w:type="dxa"/>
            <w:shd w:val="clear" w:color="auto" w:fill="FFFFFF"/>
            <w:vAlign w:val="center"/>
          </w:tcPr>
          <w:p>
            <w:pPr>
              <w:spacing w:line="400" w:lineRule="exact"/>
              <w:jc w:val="center"/>
              <w:rPr>
                <w:rFonts w:ascii="宋体" w:hAnsi="宋体" w:cs="宋体"/>
              </w:rPr>
            </w:pPr>
            <w:r>
              <w:rPr>
                <w:rFonts w:hint="eastAsia" w:ascii="宋体" w:hAnsi="宋体" w:cs="宋体"/>
              </w:rPr>
              <w:t>JTY-HF-GST102</w:t>
            </w:r>
          </w:p>
        </w:tc>
        <w:tc>
          <w:tcPr>
            <w:tcW w:w="1276" w:type="dxa"/>
            <w:shd w:val="clear" w:color="auto" w:fill="FFFFFF"/>
            <w:vAlign w:val="center"/>
          </w:tcPr>
          <w:p>
            <w:pPr>
              <w:spacing w:line="400" w:lineRule="exact"/>
              <w:jc w:val="center"/>
              <w:rPr>
                <w:rFonts w:ascii="宋体" w:hAnsi="宋体" w:cs="宋体"/>
              </w:rPr>
            </w:pPr>
            <w:r>
              <w:rPr>
                <w:rFonts w:hint="eastAsia" w:ascii="宋体" w:hAnsi="宋体" w:cs="宋体"/>
              </w:rPr>
              <w:t>1</w:t>
            </w:r>
          </w:p>
        </w:tc>
        <w:tc>
          <w:tcPr>
            <w:tcW w:w="1417" w:type="dxa"/>
            <w:shd w:val="clear" w:color="auto" w:fill="FFFFFF"/>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Merge w:val="continue"/>
            <w:shd w:val="clear" w:color="auto" w:fill="FFFFFF"/>
            <w:vAlign w:val="center"/>
          </w:tcPr>
          <w:p>
            <w:pPr>
              <w:numPr>
                <w:ilvl w:val="0"/>
                <w:numId w:val="5"/>
              </w:numPr>
              <w:tabs>
                <w:tab w:val="left" w:pos="420"/>
              </w:tabs>
              <w:spacing w:line="400" w:lineRule="exact"/>
              <w:jc w:val="center"/>
              <w:rPr>
                <w:rFonts w:ascii="宋体" w:hAnsi="宋体" w:cs="宋体"/>
              </w:rPr>
            </w:pPr>
          </w:p>
        </w:tc>
        <w:tc>
          <w:tcPr>
            <w:tcW w:w="2693" w:type="dxa"/>
            <w:vMerge w:val="continue"/>
            <w:shd w:val="clear" w:color="auto" w:fill="FFFFFF"/>
            <w:vAlign w:val="center"/>
          </w:tcPr>
          <w:p>
            <w:pPr>
              <w:spacing w:line="400" w:lineRule="exact"/>
              <w:jc w:val="center"/>
              <w:rPr>
                <w:rFonts w:ascii="宋体" w:hAnsi="宋体" w:cs="宋体"/>
              </w:rPr>
            </w:pPr>
          </w:p>
        </w:tc>
        <w:tc>
          <w:tcPr>
            <w:tcW w:w="1134" w:type="dxa"/>
            <w:shd w:val="clear" w:color="auto" w:fill="FFFFFF"/>
            <w:vAlign w:val="center"/>
          </w:tcPr>
          <w:p>
            <w:pPr>
              <w:spacing w:line="400" w:lineRule="exact"/>
              <w:jc w:val="center"/>
              <w:rPr>
                <w:rFonts w:ascii="宋体" w:hAnsi="宋体" w:cs="宋体"/>
              </w:rPr>
            </w:pPr>
            <w:r>
              <w:rPr>
                <w:rFonts w:hint="eastAsia" w:ascii="宋体" w:hAnsi="宋体" w:cs="宋体"/>
              </w:rPr>
              <w:t>松江</w:t>
            </w:r>
          </w:p>
        </w:tc>
        <w:tc>
          <w:tcPr>
            <w:tcW w:w="2268" w:type="dxa"/>
            <w:shd w:val="clear" w:color="auto" w:fill="FFFFFF"/>
            <w:vAlign w:val="center"/>
          </w:tcPr>
          <w:p>
            <w:pPr>
              <w:spacing w:line="400" w:lineRule="exact"/>
              <w:jc w:val="center"/>
              <w:rPr>
                <w:rFonts w:ascii="宋体" w:hAnsi="宋体" w:cs="宋体"/>
              </w:rPr>
            </w:pPr>
            <w:r>
              <w:rPr>
                <w:rFonts w:hint="eastAsia" w:ascii="宋体" w:hAnsi="宋体" w:cs="宋体"/>
              </w:rPr>
              <w:t>JTY-HW-900B</w:t>
            </w:r>
          </w:p>
        </w:tc>
        <w:tc>
          <w:tcPr>
            <w:tcW w:w="1276" w:type="dxa"/>
            <w:shd w:val="clear" w:color="auto" w:fill="FFFFFF"/>
            <w:vAlign w:val="center"/>
          </w:tcPr>
          <w:p>
            <w:pPr>
              <w:spacing w:line="400" w:lineRule="exact"/>
              <w:jc w:val="center"/>
              <w:rPr>
                <w:rFonts w:ascii="宋体" w:hAnsi="宋体" w:cs="宋体"/>
              </w:rPr>
            </w:pPr>
            <w:r>
              <w:rPr>
                <w:rFonts w:hint="eastAsia" w:ascii="宋体" w:hAnsi="宋体" w:cs="宋体"/>
              </w:rPr>
              <w:t>1</w:t>
            </w:r>
          </w:p>
        </w:tc>
        <w:tc>
          <w:tcPr>
            <w:tcW w:w="1417" w:type="dxa"/>
            <w:shd w:val="clear" w:color="auto" w:fill="FFFFFF"/>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Merge w:val="restart"/>
            <w:shd w:val="clear" w:color="auto" w:fill="FFFFFF"/>
            <w:vAlign w:val="center"/>
          </w:tcPr>
          <w:p>
            <w:pPr>
              <w:numPr>
                <w:ilvl w:val="0"/>
                <w:numId w:val="5"/>
              </w:numPr>
              <w:tabs>
                <w:tab w:val="left" w:pos="420"/>
              </w:tabs>
              <w:spacing w:line="400" w:lineRule="exact"/>
              <w:jc w:val="center"/>
              <w:rPr>
                <w:rFonts w:ascii="宋体" w:hAnsi="宋体" w:cs="宋体"/>
              </w:rPr>
            </w:pPr>
          </w:p>
        </w:tc>
        <w:tc>
          <w:tcPr>
            <w:tcW w:w="2693" w:type="dxa"/>
            <w:vMerge w:val="restart"/>
            <w:shd w:val="clear" w:color="auto" w:fill="FFFFFF"/>
            <w:vAlign w:val="center"/>
          </w:tcPr>
          <w:p>
            <w:pPr>
              <w:spacing w:line="400" w:lineRule="exact"/>
              <w:jc w:val="center"/>
              <w:rPr>
                <w:rFonts w:ascii="宋体" w:hAnsi="宋体" w:cs="宋体"/>
              </w:rPr>
            </w:pPr>
            <w:r>
              <w:rPr>
                <w:rFonts w:hint="eastAsia" w:ascii="宋体" w:hAnsi="宋体" w:cs="宋体"/>
              </w:rPr>
              <w:t>声光报警器</w:t>
            </w:r>
          </w:p>
        </w:tc>
        <w:tc>
          <w:tcPr>
            <w:tcW w:w="1134" w:type="dxa"/>
            <w:shd w:val="clear" w:color="auto" w:fill="FFFFFF"/>
            <w:vAlign w:val="center"/>
          </w:tcPr>
          <w:p>
            <w:pPr>
              <w:spacing w:line="400" w:lineRule="exact"/>
              <w:jc w:val="center"/>
              <w:rPr>
                <w:rFonts w:ascii="宋体" w:hAnsi="宋体" w:cs="宋体"/>
              </w:rPr>
            </w:pPr>
            <w:r>
              <w:rPr>
                <w:rFonts w:hint="eastAsia" w:ascii="宋体" w:hAnsi="宋体" w:cs="宋体"/>
              </w:rPr>
              <w:t>河马</w:t>
            </w:r>
          </w:p>
        </w:tc>
        <w:tc>
          <w:tcPr>
            <w:tcW w:w="2268" w:type="dxa"/>
            <w:shd w:val="clear" w:color="auto" w:fill="FFFFFF"/>
            <w:vAlign w:val="center"/>
          </w:tcPr>
          <w:p>
            <w:pPr>
              <w:spacing w:line="400" w:lineRule="exact"/>
              <w:jc w:val="center"/>
              <w:rPr>
                <w:rFonts w:ascii="宋体" w:hAnsi="宋体" w:cs="宋体"/>
              </w:rPr>
            </w:pPr>
            <w:r>
              <w:rPr>
                <w:rFonts w:hint="eastAsia" w:ascii="宋体" w:hAnsi="宋体" w:cs="宋体"/>
              </w:rPr>
              <w:t>TB-SG-HMB</w:t>
            </w:r>
          </w:p>
        </w:tc>
        <w:tc>
          <w:tcPr>
            <w:tcW w:w="1276" w:type="dxa"/>
            <w:shd w:val="clear" w:color="auto" w:fill="FFFFFF"/>
            <w:vAlign w:val="center"/>
          </w:tcPr>
          <w:p>
            <w:pPr>
              <w:spacing w:line="400" w:lineRule="exact"/>
              <w:jc w:val="center"/>
              <w:rPr>
                <w:rFonts w:ascii="宋体" w:hAnsi="宋体" w:cs="宋体"/>
              </w:rPr>
            </w:pPr>
            <w:r>
              <w:rPr>
                <w:rFonts w:hint="eastAsia" w:ascii="宋体" w:hAnsi="宋体" w:cs="宋体"/>
              </w:rPr>
              <w:t>1</w:t>
            </w:r>
          </w:p>
        </w:tc>
        <w:tc>
          <w:tcPr>
            <w:tcW w:w="1417" w:type="dxa"/>
            <w:shd w:val="clear" w:color="auto" w:fill="FFFFFF"/>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Merge w:val="continue"/>
            <w:shd w:val="clear" w:color="auto" w:fill="FFFFFF"/>
            <w:vAlign w:val="center"/>
          </w:tcPr>
          <w:p>
            <w:pPr>
              <w:numPr>
                <w:ilvl w:val="0"/>
                <w:numId w:val="5"/>
              </w:numPr>
              <w:tabs>
                <w:tab w:val="left" w:pos="420"/>
              </w:tabs>
              <w:spacing w:line="400" w:lineRule="exact"/>
              <w:jc w:val="center"/>
              <w:rPr>
                <w:rFonts w:ascii="宋体" w:hAnsi="宋体" w:cs="宋体"/>
              </w:rPr>
            </w:pPr>
          </w:p>
        </w:tc>
        <w:tc>
          <w:tcPr>
            <w:tcW w:w="2693" w:type="dxa"/>
            <w:vMerge w:val="continue"/>
            <w:shd w:val="clear" w:color="auto" w:fill="FFFFFF"/>
            <w:vAlign w:val="center"/>
          </w:tcPr>
          <w:p>
            <w:pPr>
              <w:spacing w:line="400" w:lineRule="exact"/>
              <w:jc w:val="center"/>
              <w:rPr>
                <w:rFonts w:ascii="宋体" w:hAnsi="宋体" w:cs="宋体"/>
              </w:rPr>
            </w:pPr>
          </w:p>
        </w:tc>
        <w:tc>
          <w:tcPr>
            <w:tcW w:w="1134" w:type="dxa"/>
            <w:shd w:val="clear" w:color="auto" w:fill="FFFFFF"/>
            <w:vAlign w:val="center"/>
          </w:tcPr>
          <w:p>
            <w:pPr>
              <w:spacing w:line="400" w:lineRule="exact"/>
              <w:jc w:val="center"/>
              <w:rPr>
                <w:rFonts w:ascii="宋体" w:hAnsi="宋体" w:cs="宋体"/>
              </w:rPr>
            </w:pPr>
            <w:r>
              <w:rPr>
                <w:rFonts w:hint="eastAsia" w:ascii="宋体" w:hAnsi="宋体" w:cs="宋体"/>
              </w:rPr>
              <w:t>松江</w:t>
            </w:r>
          </w:p>
        </w:tc>
        <w:tc>
          <w:tcPr>
            <w:tcW w:w="2268" w:type="dxa"/>
            <w:shd w:val="clear" w:color="auto" w:fill="FFFFFF"/>
            <w:vAlign w:val="center"/>
          </w:tcPr>
          <w:p>
            <w:pPr>
              <w:spacing w:line="400" w:lineRule="exact"/>
              <w:jc w:val="center"/>
              <w:rPr>
                <w:rFonts w:ascii="宋体" w:hAnsi="宋体" w:cs="宋体"/>
              </w:rPr>
            </w:pPr>
            <w:r>
              <w:rPr>
                <w:rFonts w:hint="eastAsia" w:ascii="宋体" w:hAnsi="宋体" w:cs="宋体"/>
              </w:rPr>
              <w:t>F-9204</w:t>
            </w:r>
          </w:p>
        </w:tc>
        <w:tc>
          <w:tcPr>
            <w:tcW w:w="1276" w:type="dxa"/>
            <w:shd w:val="clear" w:color="auto" w:fill="FFFFFF"/>
          </w:tcPr>
          <w:p>
            <w:pPr>
              <w:spacing w:line="400" w:lineRule="exact"/>
              <w:jc w:val="center"/>
              <w:rPr>
                <w:rFonts w:ascii="宋体" w:hAnsi="宋体" w:cs="宋体"/>
              </w:rPr>
            </w:pPr>
            <w:r>
              <w:rPr>
                <w:rFonts w:hint="eastAsia" w:ascii="宋体" w:hAnsi="宋体" w:cs="宋体"/>
              </w:rPr>
              <w:t>1</w:t>
            </w:r>
          </w:p>
        </w:tc>
        <w:tc>
          <w:tcPr>
            <w:tcW w:w="1417" w:type="dxa"/>
            <w:shd w:val="clear" w:color="auto" w:fill="FFFFFF"/>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Merge w:val="restart"/>
            <w:shd w:val="clear" w:color="auto" w:fill="FFFFFF"/>
            <w:vAlign w:val="center"/>
          </w:tcPr>
          <w:p>
            <w:pPr>
              <w:numPr>
                <w:ilvl w:val="0"/>
                <w:numId w:val="5"/>
              </w:numPr>
              <w:tabs>
                <w:tab w:val="left" w:pos="420"/>
              </w:tabs>
              <w:spacing w:line="400" w:lineRule="exact"/>
              <w:jc w:val="center"/>
              <w:rPr>
                <w:rFonts w:ascii="宋体" w:hAnsi="宋体" w:cs="宋体"/>
              </w:rPr>
            </w:pPr>
          </w:p>
        </w:tc>
        <w:tc>
          <w:tcPr>
            <w:tcW w:w="2693" w:type="dxa"/>
            <w:vMerge w:val="restart"/>
            <w:shd w:val="clear" w:color="auto" w:fill="FFFFFF"/>
            <w:vAlign w:val="center"/>
          </w:tcPr>
          <w:p>
            <w:pPr>
              <w:spacing w:line="400" w:lineRule="exact"/>
              <w:jc w:val="center"/>
              <w:rPr>
                <w:rFonts w:ascii="宋体" w:hAnsi="宋体" w:cs="宋体"/>
              </w:rPr>
            </w:pPr>
            <w:r>
              <w:rPr>
                <w:rFonts w:hint="eastAsia" w:ascii="宋体" w:hAnsi="宋体" w:cs="宋体"/>
              </w:rPr>
              <w:t>消火栓按钮</w:t>
            </w:r>
          </w:p>
        </w:tc>
        <w:tc>
          <w:tcPr>
            <w:tcW w:w="1134" w:type="dxa"/>
            <w:shd w:val="clear" w:color="auto" w:fill="FFFFFF"/>
            <w:vAlign w:val="center"/>
          </w:tcPr>
          <w:p>
            <w:pPr>
              <w:spacing w:line="400" w:lineRule="exact"/>
              <w:jc w:val="center"/>
              <w:rPr>
                <w:rFonts w:ascii="宋体" w:hAnsi="宋体" w:cs="宋体"/>
              </w:rPr>
            </w:pPr>
            <w:r>
              <w:rPr>
                <w:rFonts w:hint="eastAsia" w:ascii="宋体" w:hAnsi="宋体" w:cs="宋体"/>
              </w:rPr>
              <w:t>河马</w:t>
            </w:r>
          </w:p>
        </w:tc>
        <w:tc>
          <w:tcPr>
            <w:tcW w:w="2268" w:type="dxa"/>
            <w:shd w:val="clear" w:color="auto" w:fill="FFFFFF"/>
            <w:vAlign w:val="center"/>
          </w:tcPr>
          <w:p>
            <w:pPr>
              <w:spacing w:line="400" w:lineRule="exact"/>
              <w:jc w:val="center"/>
              <w:rPr>
                <w:rFonts w:ascii="宋体" w:hAnsi="宋体" w:cs="宋体"/>
              </w:rPr>
            </w:pPr>
            <w:r>
              <w:rPr>
                <w:rFonts w:hint="eastAsia" w:ascii="宋体" w:hAnsi="宋体" w:cs="宋体"/>
              </w:rPr>
              <w:t>J-SAP-HM8X</w:t>
            </w:r>
          </w:p>
        </w:tc>
        <w:tc>
          <w:tcPr>
            <w:tcW w:w="1276" w:type="dxa"/>
            <w:shd w:val="clear" w:color="auto" w:fill="FFFFFF"/>
            <w:vAlign w:val="center"/>
          </w:tcPr>
          <w:p>
            <w:pPr>
              <w:spacing w:line="400" w:lineRule="exact"/>
              <w:jc w:val="center"/>
              <w:rPr>
                <w:rFonts w:ascii="宋体" w:hAnsi="宋体" w:cs="宋体"/>
              </w:rPr>
            </w:pPr>
            <w:r>
              <w:rPr>
                <w:rFonts w:hint="eastAsia" w:ascii="宋体" w:hAnsi="宋体" w:cs="宋体"/>
              </w:rPr>
              <w:t>1</w:t>
            </w:r>
          </w:p>
        </w:tc>
        <w:tc>
          <w:tcPr>
            <w:tcW w:w="1417" w:type="dxa"/>
            <w:shd w:val="clear" w:color="auto" w:fill="FFFFFF"/>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Merge w:val="continue"/>
            <w:shd w:val="clear" w:color="auto" w:fill="FFFFFF"/>
            <w:vAlign w:val="center"/>
          </w:tcPr>
          <w:p>
            <w:pPr>
              <w:numPr>
                <w:ilvl w:val="0"/>
                <w:numId w:val="5"/>
              </w:numPr>
              <w:tabs>
                <w:tab w:val="left" w:pos="420"/>
              </w:tabs>
              <w:spacing w:line="400" w:lineRule="exact"/>
              <w:jc w:val="center"/>
              <w:rPr>
                <w:rFonts w:ascii="宋体" w:hAnsi="宋体" w:cs="宋体"/>
              </w:rPr>
            </w:pPr>
          </w:p>
        </w:tc>
        <w:tc>
          <w:tcPr>
            <w:tcW w:w="2693" w:type="dxa"/>
            <w:vMerge w:val="continue"/>
            <w:shd w:val="clear" w:color="auto" w:fill="FFFFFF"/>
            <w:vAlign w:val="center"/>
          </w:tcPr>
          <w:p>
            <w:pPr>
              <w:spacing w:line="400" w:lineRule="exact"/>
              <w:jc w:val="center"/>
              <w:rPr>
                <w:rFonts w:ascii="宋体" w:hAnsi="宋体" w:cs="宋体"/>
              </w:rPr>
            </w:pPr>
          </w:p>
        </w:tc>
        <w:tc>
          <w:tcPr>
            <w:tcW w:w="1134" w:type="dxa"/>
            <w:shd w:val="clear" w:color="auto" w:fill="FFFFFF"/>
            <w:vAlign w:val="center"/>
          </w:tcPr>
          <w:p>
            <w:pPr>
              <w:spacing w:line="400" w:lineRule="exact"/>
              <w:jc w:val="center"/>
              <w:rPr>
                <w:rFonts w:ascii="宋体" w:hAnsi="宋体" w:cs="宋体"/>
              </w:rPr>
            </w:pPr>
            <w:r>
              <w:rPr>
                <w:rFonts w:hint="eastAsia" w:ascii="宋体" w:hAnsi="宋体" w:cs="宋体"/>
              </w:rPr>
              <w:t>松江</w:t>
            </w:r>
          </w:p>
        </w:tc>
        <w:tc>
          <w:tcPr>
            <w:tcW w:w="2268" w:type="dxa"/>
            <w:shd w:val="clear" w:color="auto" w:fill="FFFFFF"/>
            <w:vAlign w:val="center"/>
          </w:tcPr>
          <w:p>
            <w:pPr>
              <w:spacing w:line="400" w:lineRule="exact"/>
              <w:jc w:val="center"/>
              <w:rPr>
                <w:rFonts w:ascii="宋体" w:hAnsi="宋体" w:cs="宋体"/>
              </w:rPr>
            </w:pPr>
            <w:r>
              <w:rPr>
                <w:rFonts w:hint="eastAsia" w:ascii="宋体" w:hAnsi="宋体" w:cs="宋体"/>
              </w:rPr>
              <w:t>J-XAPD-9301</w:t>
            </w:r>
          </w:p>
        </w:tc>
        <w:tc>
          <w:tcPr>
            <w:tcW w:w="1276" w:type="dxa"/>
            <w:shd w:val="clear" w:color="auto" w:fill="FFFFFF"/>
            <w:vAlign w:val="center"/>
          </w:tcPr>
          <w:p>
            <w:pPr>
              <w:spacing w:line="400" w:lineRule="exact"/>
              <w:jc w:val="center"/>
              <w:rPr>
                <w:rFonts w:ascii="宋体" w:hAnsi="宋体" w:cs="宋体"/>
              </w:rPr>
            </w:pPr>
            <w:r>
              <w:rPr>
                <w:rFonts w:hint="eastAsia" w:ascii="宋体" w:hAnsi="宋体" w:cs="宋体"/>
              </w:rPr>
              <w:t>1</w:t>
            </w:r>
          </w:p>
        </w:tc>
        <w:tc>
          <w:tcPr>
            <w:tcW w:w="1417" w:type="dxa"/>
            <w:shd w:val="clear" w:color="auto" w:fill="FFFFFF"/>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Merge w:val="restart"/>
            <w:shd w:val="clear" w:color="auto" w:fill="FFFFFF"/>
            <w:vAlign w:val="center"/>
          </w:tcPr>
          <w:p>
            <w:pPr>
              <w:numPr>
                <w:ilvl w:val="0"/>
                <w:numId w:val="5"/>
              </w:numPr>
              <w:tabs>
                <w:tab w:val="left" w:pos="420"/>
              </w:tabs>
              <w:spacing w:line="400" w:lineRule="exact"/>
              <w:jc w:val="center"/>
              <w:rPr>
                <w:rFonts w:ascii="宋体" w:hAnsi="宋体" w:cs="宋体"/>
              </w:rPr>
            </w:pPr>
          </w:p>
        </w:tc>
        <w:tc>
          <w:tcPr>
            <w:tcW w:w="2693" w:type="dxa"/>
            <w:vMerge w:val="restart"/>
            <w:shd w:val="clear" w:color="auto" w:fill="FFFFFF"/>
            <w:vAlign w:val="center"/>
          </w:tcPr>
          <w:p>
            <w:pPr>
              <w:spacing w:line="400" w:lineRule="exact"/>
              <w:jc w:val="center"/>
              <w:rPr>
                <w:rFonts w:ascii="宋体" w:hAnsi="宋体" w:cs="宋体"/>
              </w:rPr>
            </w:pPr>
            <w:r>
              <w:rPr>
                <w:rFonts w:hint="eastAsia" w:ascii="宋体" w:hAnsi="宋体" w:cs="宋体"/>
              </w:rPr>
              <w:t>火灾显示盘</w:t>
            </w:r>
          </w:p>
        </w:tc>
        <w:tc>
          <w:tcPr>
            <w:tcW w:w="1134" w:type="dxa"/>
            <w:shd w:val="clear" w:color="auto" w:fill="FFFFFF"/>
            <w:vAlign w:val="center"/>
          </w:tcPr>
          <w:p>
            <w:pPr>
              <w:spacing w:line="400" w:lineRule="exact"/>
              <w:jc w:val="center"/>
              <w:rPr>
                <w:rFonts w:ascii="宋体" w:hAnsi="宋体" w:cs="宋体"/>
              </w:rPr>
            </w:pPr>
            <w:r>
              <w:rPr>
                <w:rFonts w:hint="eastAsia" w:ascii="宋体" w:hAnsi="宋体" w:cs="宋体"/>
              </w:rPr>
              <w:t>河马</w:t>
            </w:r>
          </w:p>
        </w:tc>
        <w:tc>
          <w:tcPr>
            <w:tcW w:w="2268" w:type="dxa"/>
            <w:shd w:val="clear" w:color="auto" w:fill="FFFFFF"/>
            <w:vAlign w:val="center"/>
          </w:tcPr>
          <w:p>
            <w:pPr>
              <w:spacing w:line="400" w:lineRule="exact"/>
              <w:jc w:val="center"/>
              <w:rPr>
                <w:rFonts w:ascii="宋体" w:hAnsi="宋体" w:cs="宋体"/>
              </w:rPr>
            </w:pPr>
            <w:r>
              <w:rPr>
                <w:rFonts w:hint="eastAsia" w:ascii="宋体" w:hAnsi="宋体" w:cs="宋体"/>
              </w:rPr>
              <w:t>TB-LX-HM8A</w:t>
            </w:r>
          </w:p>
        </w:tc>
        <w:tc>
          <w:tcPr>
            <w:tcW w:w="1276" w:type="dxa"/>
            <w:shd w:val="clear" w:color="auto" w:fill="FFFFFF"/>
            <w:vAlign w:val="center"/>
          </w:tcPr>
          <w:p>
            <w:pPr>
              <w:spacing w:line="400" w:lineRule="exact"/>
              <w:jc w:val="center"/>
              <w:rPr>
                <w:rFonts w:ascii="宋体" w:hAnsi="宋体" w:cs="宋体"/>
              </w:rPr>
            </w:pPr>
            <w:r>
              <w:rPr>
                <w:rFonts w:hint="eastAsia" w:ascii="宋体" w:hAnsi="宋体" w:cs="宋体"/>
              </w:rPr>
              <w:t>1</w:t>
            </w:r>
          </w:p>
        </w:tc>
        <w:tc>
          <w:tcPr>
            <w:tcW w:w="1417" w:type="dxa"/>
            <w:shd w:val="clear" w:color="auto" w:fill="FFFFFF"/>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Merge w:val="continue"/>
            <w:shd w:val="clear" w:color="auto" w:fill="FFFFFF"/>
            <w:vAlign w:val="center"/>
          </w:tcPr>
          <w:p>
            <w:pPr>
              <w:numPr>
                <w:ilvl w:val="0"/>
                <w:numId w:val="5"/>
              </w:numPr>
              <w:tabs>
                <w:tab w:val="left" w:pos="420"/>
              </w:tabs>
              <w:spacing w:line="400" w:lineRule="exact"/>
              <w:jc w:val="center"/>
              <w:rPr>
                <w:rFonts w:ascii="宋体" w:hAnsi="宋体" w:cs="宋体"/>
              </w:rPr>
            </w:pPr>
          </w:p>
        </w:tc>
        <w:tc>
          <w:tcPr>
            <w:tcW w:w="2693" w:type="dxa"/>
            <w:vMerge w:val="continue"/>
            <w:shd w:val="clear" w:color="auto" w:fill="FFFFFF"/>
            <w:vAlign w:val="center"/>
          </w:tcPr>
          <w:p>
            <w:pPr>
              <w:spacing w:line="400" w:lineRule="exact"/>
              <w:jc w:val="center"/>
              <w:rPr>
                <w:rFonts w:ascii="宋体" w:hAnsi="宋体" w:cs="宋体"/>
              </w:rPr>
            </w:pPr>
          </w:p>
        </w:tc>
        <w:tc>
          <w:tcPr>
            <w:tcW w:w="1134" w:type="dxa"/>
            <w:shd w:val="clear" w:color="auto" w:fill="FFFFFF"/>
            <w:vAlign w:val="center"/>
          </w:tcPr>
          <w:p>
            <w:pPr>
              <w:spacing w:line="400" w:lineRule="exact"/>
              <w:jc w:val="center"/>
              <w:rPr>
                <w:rFonts w:ascii="宋体" w:hAnsi="宋体" w:cs="宋体"/>
              </w:rPr>
            </w:pPr>
            <w:r>
              <w:rPr>
                <w:rFonts w:hint="eastAsia" w:ascii="宋体" w:hAnsi="宋体" w:cs="宋体"/>
              </w:rPr>
              <w:t>松江</w:t>
            </w:r>
          </w:p>
        </w:tc>
        <w:tc>
          <w:tcPr>
            <w:tcW w:w="2268" w:type="dxa"/>
            <w:shd w:val="clear" w:color="auto" w:fill="FFFFFF"/>
            <w:vAlign w:val="center"/>
          </w:tcPr>
          <w:p>
            <w:pPr>
              <w:spacing w:line="400" w:lineRule="exact"/>
              <w:jc w:val="center"/>
              <w:rPr>
                <w:rFonts w:ascii="宋体" w:hAnsi="宋体" w:cs="宋体"/>
              </w:rPr>
            </w:pPr>
            <w:r>
              <w:rPr>
                <w:rFonts w:hint="eastAsia" w:ascii="宋体" w:hAnsi="宋体" w:cs="宋体"/>
              </w:rPr>
              <w:t>JB-YX-9601</w:t>
            </w:r>
          </w:p>
        </w:tc>
        <w:tc>
          <w:tcPr>
            <w:tcW w:w="1276" w:type="dxa"/>
            <w:shd w:val="clear" w:color="auto" w:fill="FFFFFF"/>
            <w:vAlign w:val="center"/>
          </w:tcPr>
          <w:p>
            <w:pPr>
              <w:spacing w:line="400" w:lineRule="exact"/>
              <w:jc w:val="center"/>
              <w:rPr>
                <w:rFonts w:ascii="宋体" w:hAnsi="宋体" w:cs="宋体"/>
              </w:rPr>
            </w:pPr>
            <w:r>
              <w:rPr>
                <w:rFonts w:hint="eastAsia" w:ascii="宋体" w:hAnsi="宋体" w:cs="宋体"/>
              </w:rPr>
              <w:t>1</w:t>
            </w:r>
          </w:p>
        </w:tc>
        <w:tc>
          <w:tcPr>
            <w:tcW w:w="1417" w:type="dxa"/>
            <w:shd w:val="clear" w:color="auto" w:fill="FFFFFF"/>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Merge w:val="restart"/>
            <w:shd w:val="clear" w:color="auto" w:fill="FFFFFF"/>
            <w:vAlign w:val="center"/>
          </w:tcPr>
          <w:p>
            <w:pPr>
              <w:numPr>
                <w:ilvl w:val="0"/>
                <w:numId w:val="5"/>
              </w:numPr>
              <w:tabs>
                <w:tab w:val="left" w:pos="420"/>
              </w:tabs>
              <w:spacing w:line="400" w:lineRule="exact"/>
              <w:jc w:val="center"/>
              <w:rPr>
                <w:rFonts w:ascii="宋体" w:hAnsi="宋体" w:cs="宋体"/>
              </w:rPr>
            </w:pPr>
          </w:p>
        </w:tc>
        <w:tc>
          <w:tcPr>
            <w:tcW w:w="2693" w:type="dxa"/>
            <w:vMerge w:val="restart"/>
            <w:shd w:val="clear" w:color="auto" w:fill="FFFFFF"/>
            <w:vAlign w:val="center"/>
          </w:tcPr>
          <w:p>
            <w:pPr>
              <w:spacing w:line="400" w:lineRule="exact"/>
              <w:jc w:val="center"/>
              <w:rPr>
                <w:rFonts w:ascii="宋体" w:hAnsi="宋体" w:cs="宋体"/>
              </w:rPr>
            </w:pPr>
            <w:r>
              <w:rPr>
                <w:rFonts w:hint="eastAsia" w:ascii="宋体" w:hAnsi="宋体" w:cs="宋体"/>
              </w:rPr>
              <w:t>手动报警按钮</w:t>
            </w:r>
          </w:p>
        </w:tc>
        <w:tc>
          <w:tcPr>
            <w:tcW w:w="1134" w:type="dxa"/>
            <w:shd w:val="clear" w:color="auto" w:fill="FFFFFF"/>
            <w:vAlign w:val="center"/>
          </w:tcPr>
          <w:p>
            <w:pPr>
              <w:spacing w:line="400" w:lineRule="exact"/>
              <w:jc w:val="center"/>
              <w:rPr>
                <w:rFonts w:ascii="宋体" w:hAnsi="宋体" w:cs="宋体"/>
              </w:rPr>
            </w:pPr>
            <w:r>
              <w:rPr>
                <w:rFonts w:hint="eastAsia" w:ascii="宋体" w:hAnsi="宋体" w:cs="宋体"/>
              </w:rPr>
              <w:t>河马</w:t>
            </w:r>
          </w:p>
        </w:tc>
        <w:tc>
          <w:tcPr>
            <w:tcW w:w="2268" w:type="dxa"/>
            <w:shd w:val="clear" w:color="auto" w:fill="FFFFFF"/>
            <w:vAlign w:val="center"/>
          </w:tcPr>
          <w:p>
            <w:pPr>
              <w:spacing w:line="400" w:lineRule="exact"/>
              <w:jc w:val="center"/>
              <w:rPr>
                <w:rFonts w:ascii="宋体" w:hAnsi="宋体" w:cs="宋体"/>
              </w:rPr>
            </w:pPr>
            <w:r>
              <w:rPr>
                <w:rFonts w:hint="eastAsia" w:ascii="宋体" w:hAnsi="宋体" w:cs="宋体"/>
              </w:rPr>
              <w:t>J-SAP-HM8</w:t>
            </w:r>
          </w:p>
        </w:tc>
        <w:tc>
          <w:tcPr>
            <w:tcW w:w="1276" w:type="dxa"/>
            <w:shd w:val="clear" w:color="auto" w:fill="FFFFFF"/>
            <w:vAlign w:val="center"/>
          </w:tcPr>
          <w:p>
            <w:pPr>
              <w:spacing w:line="400" w:lineRule="exact"/>
              <w:jc w:val="center"/>
              <w:rPr>
                <w:rFonts w:ascii="宋体" w:hAnsi="宋体" w:cs="宋体"/>
              </w:rPr>
            </w:pPr>
            <w:r>
              <w:rPr>
                <w:rFonts w:hint="eastAsia" w:ascii="宋体" w:hAnsi="宋体" w:cs="宋体"/>
              </w:rPr>
              <w:t>1</w:t>
            </w:r>
          </w:p>
        </w:tc>
        <w:tc>
          <w:tcPr>
            <w:tcW w:w="1417" w:type="dxa"/>
            <w:shd w:val="clear" w:color="auto" w:fill="FFFFFF"/>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Merge w:val="continue"/>
            <w:shd w:val="clear" w:color="auto" w:fill="FFFFFF"/>
            <w:vAlign w:val="center"/>
          </w:tcPr>
          <w:p>
            <w:pPr>
              <w:numPr>
                <w:ilvl w:val="0"/>
                <w:numId w:val="5"/>
              </w:numPr>
              <w:tabs>
                <w:tab w:val="left" w:pos="420"/>
              </w:tabs>
              <w:spacing w:line="400" w:lineRule="exact"/>
              <w:jc w:val="center"/>
              <w:rPr>
                <w:rFonts w:ascii="宋体" w:hAnsi="宋体" w:cs="宋体"/>
              </w:rPr>
            </w:pPr>
          </w:p>
        </w:tc>
        <w:tc>
          <w:tcPr>
            <w:tcW w:w="2693" w:type="dxa"/>
            <w:vMerge w:val="continue"/>
            <w:shd w:val="clear" w:color="auto" w:fill="FFFFFF"/>
            <w:vAlign w:val="center"/>
          </w:tcPr>
          <w:p>
            <w:pPr>
              <w:spacing w:line="400" w:lineRule="exact"/>
              <w:jc w:val="center"/>
              <w:rPr>
                <w:rFonts w:ascii="宋体" w:hAnsi="宋体" w:cs="宋体"/>
              </w:rPr>
            </w:pPr>
          </w:p>
        </w:tc>
        <w:tc>
          <w:tcPr>
            <w:tcW w:w="1134" w:type="dxa"/>
            <w:shd w:val="clear" w:color="auto" w:fill="FFFFFF"/>
            <w:vAlign w:val="center"/>
          </w:tcPr>
          <w:p>
            <w:pPr>
              <w:spacing w:line="400" w:lineRule="exact"/>
              <w:jc w:val="center"/>
              <w:rPr>
                <w:rFonts w:ascii="宋体" w:hAnsi="宋体" w:cs="宋体"/>
              </w:rPr>
            </w:pPr>
            <w:r>
              <w:rPr>
                <w:rFonts w:hint="eastAsia" w:ascii="宋体" w:hAnsi="宋体" w:cs="宋体"/>
              </w:rPr>
              <w:t>松江</w:t>
            </w:r>
          </w:p>
        </w:tc>
        <w:tc>
          <w:tcPr>
            <w:tcW w:w="2268" w:type="dxa"/>
            <w:shd w:val="clear" w:color="auto" w:fill="FFFFFF"/>
            <w:vAlign w:val="center"/>
          </w:tcPr>
          <w:p>
            <w:pPr>
              <w:spacing w:line="400" w:lineRule="exact"/>
              <w:jc w:val="center"/>
              <w:rPr>
                <w:rFonts w:ascii="宋体" w:hAnsi="宋体" w:cs="宋体"/>
              </w:rPr>
            </w:pPr>
            <w:r>
              <w:rPr>
                <w:rFonts w:hint="eastAsia" w:ascii="宋体" w:hAnsi="宋体" w:cs="宋体"/>
              </w:rPr>
              <w:t>J-SAP-M-9201</w:t>
            </w:r>
          </w:p>
        </w:tc>
        <w:tc>
          <w:tcPr>
            <w:tcW w:w="1276" w:type="dxa"/>
            <w:shd w:val="clear" w:color="auto" w:fill="FFFFFF"/>
            <w:vAlign w:val="center"/>
          </w:tcPr>
          <w:p>
            <w:pPr>
              <w:spacing w:line="400" w:lineRule="exact"/>
              <w:jc w:val="center"/>
              <w:rPr>
                <w:rFonts w:ascii="宋体" w:hAnsi="宋体" w:cs="宋体"/>
              </w:rPr>
            </w:pPr>
            <w:r>
              <w:rPr>
                <w:rFonts w:hint="eastAsia" w:ascii="宋体" w:hAnsi="宋体" w:cs="宋体"/>
              </w:rPr>
              <w:t>1</w:t>
            </w:r>
          </w:p>
        </w:tc>
        <w:tc>
          <w:tcPr>
            <w:tcW w:w="1417" w:type="dxa"/>
            <w:shd w:val="clear" w:color="auto" w:fill="FFFFFF"/>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shd w:val="clear" w:color="auto" w:fill="FFFFFF"/>
            <w:vAlign w:val="center"/>
          </w:tcPr>
          <w:p>
            <w:pPr>
              <w:numPr>
                <w:ilvl w:val="0"/>
                <w:numId w:val="5"/>
              </w:numPr>
              <w:tabs>
                <w:tab w:val="left" w:pos="420"/>
              </w:tabs>
              <w:spacing w:line="400" w:lineRule="exact"/>
              <w:jc w:val="center"/>
              <w:rPr>
                <w:rFonts w:ascii="宋体" w:hAnsi="宋体" w:cs="宋体"/>
              </w:rPr>
            </w:pPr>
          </w:p>
        </w:tc>
        <w:tc>
          <w:tcPr>
            <w:tcW w:w="2693" w:type="dxa"/>
            <w:shd w:val="clear" w:color="auto" w:fill="FFFFFF"/>
            <w:vAlign w:val="center"/>
          </w:tcPr>
          <w:p>
            <w:pPr>
              <w:spacing w:line="400" w:lineRule="exact"/>
              <w:jc w:val="center"/>
              <w:rPr>
                <w:rFonts w:ascii="宋体" w:hAnsi="宋体" w:cs="宋体"/>
              </w:rPr>
            </w:pPr>
            <w:r>
              <w:rPr>
                <w:rFonts w:hint="eastAsia" w:ascii="宋体" w:hAnsi="宋体" w:cs="宋体"/>
              </w:rPr>
              <w:t>双波段图像火灾探测器</w:t>
            </w:r>
          </w:p>
        </w:tc>
        <w:tc>
          <w:tcPr>
            <w:tcW w:w="1134" w:type="dxa"/>
            <w:shd w:val="clear" w:color="auto" w:fill="FFFFFF"/>
            <w:vAlign w:val="center"/>
          </w:tcPr>
          <w:p>
            <w:pPr>
              <w:spacing w:line="400" w:lineRule="exact"/>
              <w:jc w:val="center"/>
              <w:rPr>
                <w:rFonts w:ascii="宋体" w:hAnsi="宋体" w:cs="宋体"/>
              </w:rPr>
            </w:pPr>
            <w:r>
              <w:rPr>
                <w:rFonts w:hint="eastAsia" w:ascii="宋体" w:hAnsi="宋体" w:cs="宋体"/>
              </w:rPr>
              <w:t>河马</w:t>
            </w:r>
          </w:p>
        </w:tc>
        <w:tc>
          <w:tcPr>
            <w:tcW w:w="2268" w:type="dxa"/>
            <w:shd w:val="clear" w:color="auto" w:fill="FFFFFF"/>
            <w:vAlign w:val="center"/>
          </w:tcPr>
          <w:p>
            <w:pPr>
              <w:spacing w:line="400" w:lineRule="exact"/>
              <w:jc w:val="center"/>
              <w:rPr>
                <w:rFonts w:ascii="宋体" w:hAnsi="宋体" w:cs="宋体"/>
              </w:rPr>
            </w:pPr>
            <w:r>
              <w:rPr>
                <w:rFonts w:hint="eastAsia" w:ascii="宋体" w:hAnsi="宋体" w:cs="宋体"/>
              </w:rPr>
              <w:t>VFD/FLA862</w:t>
            </w:r>
          </w:p>
        </w:tc>
        <w:tc>
          <w:tcPr>
            <w:tcW w:w="1276" w:type="dxa"/>
            <w:shd w:val="clear" w:color="auto" w:fill="FFFFFF"/>
            <w:vAlign w:val="center"/>
          </w:tcPr>
          <w:p>
            <w:pPr>
              <w:spacing w:line="400" w:lineRule="exact"/>
              <w:jc w:val="center"/>
              <w:rPr>
                <w:rFonts w:ascii="宋体" w:hAnsi="宋体" w:cs="宋体"/>
              </w:rPr>
            </w:pPr>
            <w:r>
              <w:rPr>
                <w:rFonts w:hint="eastAsia" w:ascii="宋体" w:hAnsi="宋体" w:cs="宋体"/>
              </w:rPr>
              <w:t>1</w:t>
            </w:r>
          </w:p>
        </w:tc>
        <w:tc>
          <w:tcPr>
            <w:tcW w:w="1417" w:type="dxa"/>
            <w:shd w:val="clear" w:color="auto" w:fill="FFFFFF"/>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Align w:val="center"/>
          </w:tcPr>
          <w:p>
            <w:pPr>
              <w:numPr>
                <w:ilvl w:val="0"/>
                <w:numId w:val="5"/>
              </w:numPr>
              <w:tabs>
                <w:tab w:val="left" w:pos="420"/>
              </w:tabs>
              <w:spacing w:line="400" w:lineRule="exact"/>
              <w:jc w:val="center"/>
              <w:rPr>
                <w:rFonts w:ascii="宋体" w:hAnsi="宋体" w:cs="宋体"/>
              </w:rPr>
            </w:pPr>
          </w:p>
        </w:tc>
        <w:tc>
          <w:tcPr>
            <w:tcW w:w="2693" w:type="dxa"/>
            <w:vAlign w:val="center"/>
          </w:tcPr>
          <w:p>
            <w:pPr>
              <w:spacing w:line="400" w:lineRule="exact"/>
              <w:jc w:val="center"/>
              <w:rPr>
                <w:rFonts w:ascii="宋体" w:hAnsi="宋体" w:cs="宋体"/>
              </w:rPr>
            </w:pPr>
            <w:r>
              <w:rPr>
                <w:rFonts w:hint="eastAsia" w:ascii="宋体" w:hAnsi="宋体" w:cs="宋体"/>
              </w:rPr>
              <w:t>湿式报警阀（东区）</w:t>
            </w:r>
          </w:p>
        </w:tc>
        <w:tc>
          <w:tcPr>
            <w:tcW w:w="3402" w:type="dxa"/>
            <w:gridSpan w:val="2"/>
            <w:vAlign w:val="center"/>
          </w:tcPr>
          <w:p>
            <w:pPr>
              <w:tabs>
                <w:tab w:val="left" w:pos="420"/>
              </w:tabs>
              <w:spacing w:line="400" w:lineRule="exact"/>
              <w:jc w:val="center"/>
              <w:rPr>
                <w:rFonts w:ascii="宋体" w:hAnsi="宋体" w:cs="宋体"/>
              </w:rPr>
            </w:pPr>
            <w:r>
              <w:rPr>
                <w:rFonts w:hint="eastAsia" w:ascii="宋体" w:hAnsi="宋体" w:cs="宋体"/>
              </w:rPr>
              <w:t>DN150</w:t>
            </w:r>
          </w:p>
        </w:tc>
        <w:tc>
          <w:tcPr>
            <w:tcW w:w="1276" w:type="dxa"/>
            <w:vAlign w:val="center"/>
          </w:tcPr>
          <w:p>
            <w:pPr>
              <w:spacing w:line="400" w:lineRule="exact"/>
              <w:jc w:val="center"/>
              <w:rPr>
                <w:rFonts w:ascii="宋体" w:hAnsi="宋体" w:cs="宋体"/>
              </w:rPr>
            </w:pPr>
            <w:r>
              <w:rPr>
                <w:rFonts w:hint="eastAsia" w:ascii="宋体" w:hAnsi="宋体" w:cs="宋体"/>
              </w:rPr>
              <w:t>1</w:t>
            </w:r>
          </w:p>
        </w:tc>
        <w:tc>
          <w:tcPr>
            <w:tcW w:w="1417" w:type="dxa"/>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Align w:val="center"/>
          </w:tcPr>
          <w:p>
            <w:pPr>
              <w:numPr>
                <w:ilvl w:val="0"/>
                <w:numId w:val="5"/>
              </w:numPr>
              <w:tabs>
                <w:tab w:val="left" w:pos="420"/>
              </w:tabs>
              <w:spacing w:line="400" w:lineRule="exact"/>
              <w:jc w:val="center"/>
              <w:rPr>
                <w:rFonts w:ascii="宋体" w:hAnsi="宋体" w:cs="宋体"/>
              </w:rPr>
            </w:pPr>
          </w:p>
        </w:tc>
        <w:tc>
          <w:tcPr>
            <w:tcW w:w="2693" w:type="dxa"/>
            <w:vAlign w:val="center"/>
          </w:tcPr>
          <w:p>
            <w:pPr>
              <w:spacing w:line="400" w:lineRule="exact"/>
              <w:jc w:val="center"/>
              <w:rPr>
                <w:rFonts w:ascii="宋体" w:hAnsi="宋体" w:cs="宋体"/>
              </w:rPr>
            </w:pPr>
            <w:r>
              <w:rPr>
                <w:rFonts w:hint="eastAsia" w:ascii="宋体" w:hAnsi="宋体" w:cs="宋体"/>
              </w:rPr>
              <w:t>湿式报警阀（西区）</w:t>
            </w:r>
          </w:p>
        </w:tc>
        <w:tc>
          <w:tcPr>
            <w:tcW w:w="3402" w:type="dxa"/>
            <w:gridSpan w:val="2"/>
            <w:vAlign w:val="center"/>
          </w:tcPr>
          <w:p>
            <w:pPr>
              <w:spacing w:line="400" w:lineRule="exact"/>
              <w:jc w:val="center"/>
              <w:rPr>
                <w:rFonts w:ascii="宋体" w:hAnsi="宋体" w:cs="宋体"/>
              </w:rPr>
            </w:pPr>
            <w:r>
              <w:rPr>
                <w:rFonts w:hint="eastAsia" w:ascii="宋体" w:hAnsi="宋体" w:cs="宋体"/>
              </w:rPr>
              <w:t>ZSF-Z150</w:t>
            </w:r>
          </w:p>
        </w:tc>
        <w:tc>
          <w:tcPr>
            <w:tcW w:w="1276" w:type="dxa"/>
            <w:vAlign w:val="center"/>
          </w:tcPr>
          <w:p>
            <w:pPr>
              <w:spacing w:line="400" w:lineRule="exact"/>
              <w:jc w:val="center"/>
              <w:rPr>
                <w:rFonts w:ascii="宋体" w:hAnsi="宋体" w:cs="宋体"/>
              </w:rPr>
            </w:pPr>
            <w:r>
              <w:rPr>
                <w:rFonts w:hint="eastAsia" w:ascii="宋体" w:hAnsi="宋体" w:cs="宋体"/>
              </w:rPr>
              <w:t>1</w:t>
            </w:r>
          </w:p>
        </w:tc>
        <w:tc>
          <w:tcPr>
            <w:tcW w:w="1417" w:type="dxa"/>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Align w:val="center"/>
          </w:tcPr>
          <w:p>
            <w:pPr>
              <w:numPr>
                <w:ilvl w:val="0"/>
                <w:numId w:val="5"/>
              </w:numPr>
              <w:tabs>
                <w:tab w:val="left" w:pos="420"/>
              </w:tabs>
              <w:spacing w:line="400" w:lineRule="exact"/>
              <w:jc w:val="center"/>
              <w:rPr>
                <w:rFonts w:ascii="宋体" w:hAnsi="宋体" w:cs="宋体"/>
              </w:rPr>
            </w:pPr>
          </w:p>
        </w:tc>
        <w:tc>
          <w:tcPr>
            <w:tcW w:w="2693" w:type="dxa"/>
            <w:vAlign w:val="center"/>
          </w:tcPr>
          <w:p>
            <w:pPr>
              <w:spacing w:line="400" w:lineRule="exact"/>
              <w:jc w:val="center"/>
              <w:rPr>
                <w:rFonts w:ascii="宋体" w:hAnsi="宋体" w:cs="宋体"/>
              </w:rPr>
            </w:pPr>
            <w:r>
              <w:rPr>
                <w:rFonts w:hint="eastAsia" w:ascii="宋体" w:hAnsi="宋体" w:cs="宋体"/>
              </w:rPr>
              <w:t>防火卷帘控制器（东区）</w:t>
            </w:r>
          </w:p>
        </w:tc>
        <w:tc>
          <w:tcPr>
            <w:tcW w:w="3402" w:type="dxa"/>
            <w:gridSpan w:val="2"/>
            <w:vAlign w:val="center"/>
          </w:tcPr>
          <w:p>
            <w:pPr>
              <w:spacing w:line="400" w:lineRule="exact"/>
              <w:jc w:val="center"/>
              <w:rPr>
                <w:rFonts w:ascii="宋体" w:hAnsi="宋体" w:cs="宋体"/>
              </w:rPr>
            </w:pPr>
            <w:r>
              <w:rPr>
                <w:rFonts w:hint="eastAsia" w:ascii="宋体" w:hAnsi="宋体" w:cs="宋体"/>
              </w:rPr>
              <w:t>FJK-SD-SX2000</w:t>
            </w:r>
          </w:p>
        </w:tc>
        <w:tc>
          <w:tcPr>
            <w:tcW w:w="1276" w:type="dxa"/>
            <w:vAlign w:val="center"/>
          </w:tcPr>
          <w:p>
            <w:pPr>
              <w:spacing w:line="400" w:lineRule="exact"/>
              <w:jc w:val="center"/>
              <w:rPr>
                <w:rFonts w:ascii="宋体" w:hAnsi="宋体" w:cs="宋体"/>
              </w:rPr>
            </w:pPr>
            <w:r>
              <w:rPr>
                <w:rFonts w:hint="eastAsia" w:ascii="宋体" w:hAnsi="宋体" w:cs="宋体"/>
              </w:rPr>
              <w:t>1</w:t>
            </w:r>
          </w:p>
        </w:tc>
        <w:tc>
          <w:tcPr>
            <w:tcW w:w="1417" w:type="dxa"/>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Align w:val="center"/>
          </w:tcPr>
          <w:p>
            <w:pPr>
              <w:numPr>
                <w:ilvl w:val="0"/>
                <w:numId w:val="5"/>
              </w:numPr>
              <w:tabs>
                <w:tab w:val="left" w:pos="420"/>
              </w:tabs>
              <w:spacing w:line="400" w:lineRule="exact"/>
              <w:jc w:val="center"/>
              <w:rPr>
                <w:rFonts w:ascii="宋体" w:hAnsi="宋体" w:cs="宋体"/>
              </w:rPr>
            </w:pPr>
          </w:p>
        </w:tc>
        <w:tc>
          <w:tcPr>
            <w:tcW w:w="2693" w:type="dxa"/>
            <w:vAlign w:val="center"/>
          </w:tcPr>
          <w:p>
            <w:pPr>
              <w:spacing w:line="400" w:lineRule="exact"/>
              <w:jc w:val="center"/>
              <w:rPr>
                <w:rFonts w:ascii="宋体" w:hAnsi="宋体" w:cs="宋体"/>
              </w:rPr>
            </w:pPr>
            <w:r>
              <w:rPr>
                <w:rFonts w:hint="eastAsia" w:ascii="宋体" w:hAnsi="宋体" w:cs="宋体"/>
              </w:rPr>
              <w:t>防火卷帘控制器（西区）</w:t>
            </w:r>
          </w:p>
        </w:tc>
        <w:tc>
          <w:tcPr>
            <w:tcW w:w="3402" w:type="dxa"/>
            <w:gridSpan w:val="2"/>
            <w:vAlign w:val="center"/>
          </w:tcPr>
          <w:p>
            <w:pPr>
              <w:spacing w:line="400" w:lineRule="exact"/>
              <w:jc w:val="center"/>
              <w:rPr>
                <w:rFonts w:ascii="宋体" w:hAnsi="宋体" w:cs="宋体"/>
              </w:rPr>
            </w:pPr>
            <w:r>
              <w:rPr>
                <w:rFonts w:hint="eastAsia" w:ascii="宋体" w:hAnsi="宋体" w:cs="宋体"/>
              </w:rPr>
              <w:t>FJK-SD-MT169</w:t>
            </w:r>
          </w:p>
        </w:tc>
        <w:tc>
          <w:tcPr>
            <w:tcW w:w="1276" w:type="dxa"/>
            <w:vAlign w:val="center"/>
          </w:tcPr>
          <w:p>
            <w:pPr>
              <w:spacing w:line="400" w:lineRule="exact"/>
              <w:jc w:val="center"/>
              <w:rPr>
                <w:rFonts w:ascii="宋体" w:hAnsi="宋体" w:cs="宋体"/>
              </w:rPr>
            </w:pPr>
            <w:r>
              <w:rPr>
                <w:rFonts w:hint="eastAsia" w:ascii="宋体" w:hAnsi="宋体" w:cs="宋体"/>
              </w:rPr>
              <w:t>1</w:t>
            </w:r>
          </w:p>
        </w:tc>
        <w:tc>
          <w:tcPr>
            <w:tcW w:w="1417" w:type="dxa"/>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Align w:val="center"/>
          </w:tcPr>
          <w:p>
            <w:pPr>
              <w:numPr>
                <w:ilvl w:val="0"/>
                <w:numId w:val="5"/>
              </w:numPr>
              <w:tabs>
                <w:tab w:val="left" w:pos="420"/>
              </w:tabs>
              <w:spacing w:line="400" w:lineRule="exact"/>
              <w:jc w:val="center"/>
              <w:rPr>
                <w:rFonts w:ascii="宋体" w:hAnsi="宋体" w:cs="宋体"/>
              </w:rPr>
            </w:pPr>
          </w:p>
        </w:tc>
        <w:tc>
          <w:tcPr>
            <w:tcW w:w="2693" w:type="dxa"/>
            <w:vAlign w:val="center"/>
          </w:tcPr>
          <w:p>
            <w:pPr>
              <w:spacing w:line="400" w:lineRule="exact"/>
              <w:jc w:val="center"/>
              <w:rPr>
                <w:rFonts w:ascii="宋体" w:hAnsi="宋体" w:cs="宋体"/>
              </w:rPr>
            </w:pPr>
            <w:r>
              <w:rPr>
                <w:rFonts w:hint="eastAsia" w:ascii="宋体" w:hAnsi="宋体" w:cs="宋体"/>
              </w:rPr>
              <w:t>应急照明（东区）</w:t>
            </w:r>
          </w:p>
        </w:tc>
        <w:tc>
          <w:tcPr>
            <w:tcW w:w="3402" w:type="dxa"/>
            <w:gridSpan w:val="2"/>
            <w:vAlign w:val="center"/>
          </w:tcPr>
          <w:p>
            <w:pPr>
              <w:spacing w:line="400" w:lineRule="exact"/>
              <w:jc w:val="center"/>
              <w:rPr>
                <w:rFonts w:ascii="宋体" w:hAnsi="宋体" w:cs="宋体"/>
              </w:rPr>
            </w:pPr>
            <w:r>
              <w:rPr>
                <w:rFonts w:hint="eastAsia" w:ascii="宋体" w:hAnsi="宋体" w:cs="宋体"/>
              </w:rPr>
              <w:t>GA-ZFZD-E1W-20</w:t>
            </w:r>
          </w:p>
        </w:tc>
        <w:tc>
          <w:tcPr>
            <w:tcW w:w="1276" w:type="dxa"/>
            <w:vAlign w:val="center"/>
          </w:tcPr>
          <w:p>
            <w:pPr>
              <w:spacing w:line="400" w:lineRule="exact"/>
              <w:jc w:val="center"/>
              <w:rPr>
                <w:rFonts w:ascii="宋体" w:hAnsi="宋体" w:cs="宋体"/>
              </w:rPr>
            </w:pPr>
            <w:r>
              <w:rPr>
                <w:rFonts w:hint="eastAsia" w:ascii="宋体" w:hAnsi="宋体" w:cs="宋体"/>
              </w:rPr>
              <w:t>1</w:t>
            </w:r>
          </w:p>
        </w:tc>
        <w:tc>
          <w:tcPr>
            <w:tcW w:w="1417" w:type="dxa"/>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Align w:val="center"/>
          </w:tcPr>
          <w:p>
            <w:pPr>
              <w:numPr>
                <w:ilvl w:val="0"/>
                <w:numId w:val="5"/>
              </w:numPr>
              <w:tabs>
                <w:tab w:val="left" w:pos="420"/>
              </w:tabs>
              <w:spacing w:line="400" w:lineRule="exact"/>
              <w:jc w:val="center"/>
              <w:rPr>
                <w:rFonts w:ascii="宋体" w:hAnsi="宋体" w:cs="宋体"/>
              </w:rPr>
            </w:pPr>
          </w:p>
        </w:tc>
        <w:tc>
          <w:tcPr>
            <w:tcW w:w="2693" w:type="dxa"/>
            <w:vAlign w:val="center"/>
          </w:tcPr>
          <w:p>
            <w:pPr>
              <w:spacing w:line="400" w:lineRule="exact"/>
              <w:jc w:val="center"/>
              <w:rPr>
                <w:rFonts w:ascii="宋体" w:hAnsi="宋体" w:cs="宋体"/>
              </w:rPr>
            </w:pPr>
            <w:r>
              <w:rPr>
                <w:rFonts w:hint="eastAsia" w:ascii="宋体" w:hAnsi="宋体" w:cs="宋体"/>
              </w:rPr>
              <w:t>应急照明（西区）</w:t>
            </w:r>
          </w:p>
        </w:tc>
        <w:tc>
          <w:tcPr>
            <w:tcW w:w="3402" w:type="dxa"/>
            <w:gridSpan w:val="2"/>
            <w:vAlign w:val="center"/>
          </w:tcPr>
          <w:p>
            <w:pPr>
              <w:spacing w:line="400" w:lineRule="exact"/>
              <w:jc w:val="center"/>
              <w:rPr>
                <w:rFonts w:ascii="宋体" w:hAnsi="宋体" w:cs="宋体"/>
              </w:rPr>
            </w:pPr>
            <w:r>
              <w:rPr>
                <w:rFonts w:hint="eastAsia" w:ascii="宋体" w:hAnsi="宋体" w:cs="宋体"/>
              </w:rPr>
              <w:t>DY-ZFZD-E3W-330F</w:t>
            </w:r>
          </w:p>
        </w:tc>
        <w:tc>
          <w:tcPr>
            <w:tcW w:w="1276" w:type="dxa"/>
            <w:vAlign w:val="center"/>
          </w:tcPr>
          <w:p>
            <w:pPr>
              <w:spacing w:line="400" w:lineRule="exact"/>
              <w:jc w:val="center"/>
              <w:rPr>
                <w:rFonts w:ascii="宋体" w:hAnsi="宋体" w:cs="宋体"/>
              </w:rPr>
            </w:pPr>
            <w:r>
              <w:rPr>
                <w:rFonts w:hint="eastAsia" w:ascii="宋体" w:hAnsi="宋体" w:cs="宋体"/>
              </w:rPr>
              <w:t>1</w:t>
            </w:r>
          </w:p>
        </w:tc>
        <w:tc>
          <w:tcPr>
            <w:tcW w:w="1417" w:type="dxa"/>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Align w:val="center"/>
          </w:tcPr>
          <w:p>
            <w:pPr>
              <w:numPr>
                <w:ilvl w:val="0"/>
                <w:numId w:val="5"/>
              </w:numPr>
              <w:tabs>
                <w:tab w:val="left" w:pos="420"/>
              </w:tabs>
              <w:spacing w:line="400" w:lineRule="exact"/>
              <w:jc w:val="center"/>
              <w:rPr>
                <w:rFonts w:ascii="宋体" w:hAnsi="宋体" w:cs="宋体"/>
              </w:rPr>
            </w:pPr>
          </w:p>
        </w:tc>
        <w:tc>
          <w:tcPr>
            <w:tcW w:w="2693" w:type="dxa"/>
            <w:vAlign w:val="center"/>
          </w:tcPr>
          <w:p>
            <w:pPr>
              <w:spacing w:line="400" w:lineRule="exact"/>
              <w:jc w:val="center"/>
              <w:rPr>
                <w:rFonts w:ascii="宋体" w:hAnsi="宋体" w:cs="宋体"/>
              </w:rPr>
            </w:pPr>
            <w:r>
              <w:rPr>
                <w:rFonts w:hint="eastAsia" w:ascii="宋体" w:hAnsi="宋体" w:cs="宋体"/>
              </w:rPr>
              <w:t>疏散指示灯（东区）</w:t>
            </w:r>
          </w:p>
        </w:tc>
        <w:tc>
          <w:tcPr>
            <w:tcW w:w="3402" w:type="dxa"/>
            <w:gridSpan w:val="2"/>
            <w:vAlign w:val="center"/>
          </w:tcPr>
          <w:p>
            <w:pPr>
              <w:spacing w:line="400" w:lineRule="exact"/>
              <w:jc w:val="center"/>
              <w:rPr>
                <w:rFonts w:ascii="宋体" w:hAnsi="宋体" w:cs="宋体"/>
              </w:rPr>
            </w:pPr>
            <w:r>
              <w:rPr>
                <w:rFonts w:hint="eastAsia" w:ascii="宋体" w:hAnsi="宋体" w:cs="宋体"/>
              </w:rPr>
              <w:t>GA-BLZD-ILROE12W-12</w:t>
            </w:r>
          </w:p>
        </w:tc>
        <w:tc>
          <w:tcPr>
            <w:tcW w:w="1276" w:type="dxa"/>
            <w:vAlign w:val="center"/>
          </w:tcPr>
          <w:p>
            <w:pPr>
              <w:spacing w:line="400" w:lineRule="exact"/>
              <w:jc w:val="center"/>
              <w:rPr>
                <w:rFonts w:ascii="宋体" w:hAnsi="宋体" w:cs="宋体"/>
              </w:rPr>
            </w:pPr>
            <w:r>
              <w:rPr>
                <w:rFonts w:hint="eastAsia" w:ascii="宋体" w:hAnsi="宋体" w:cs="宋体"/>
              </w:rPr>
              <w:t>1</w:t>
            </w:r>
          </w:p>
        </w:tc>
        <w:tc>
          <w:tcPr>
            <w:tcW w:w="1417" w:type="dxa"/>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Align w:val="center"/>
          </w:tcPr>
          <w:p>
            <w:pPr>
              <w:numPr>
                <w:ilvl w:val="0"/>
                <w:numId w:val="5"/>
              </w:numPr>
              <w:tabs>
                <w:tab w:val="left" w:pos="420"/>
              </w:tabs>
              <w:spacing w:line="400" w:lineRule="exact"/>
              <w:jc w:val="center"/>
              <w:rPr>
                <w:rFonts w:ascii="宋体" w:hAnsi="宋体" w:cs="宋体"/>
              </w:rPr>
            </w:pPr>
          </w:p>
        </w:tc>
        <w:tc>
          <w:tcPr>
            <w:tcW w:w="2693" w:type="dxa"/>
            <w:vAlign w:val="center"/>
          </w:tcPr>
          <w:p>
            <w:pPr>
              <w:spacing w:line="400" w:lineRule="exact"/>
              <w:jc w:val="center"/>
              <w:rPr>
                <w:rFonts w:ascii="宋体" w:hAnsi="宋体" w:cs="宋体"/>
              </w:rPr>
            </w:pPr>
            <w:r>
              <w:rPr>
                <w:rFonts w:hint="eastAsia" w:ascii="宋体" w:hAnsi="宋体" w:cs="宋体"/>
              </w:rPr>
              <w:t>安全出口指示灯（东区）</w:t>
            </w:r>
          </w:p>
        </w:tc>
        <w:tc>
          <w:tcPr>
            <w:tcW w:w="3402" w:type="dxa"/>
            <w:gridSpan w:val="2"/>
            <w:vAlign w:val="center"/>
          </w:tcPr>
          <w:p>
            <w:pPr>
              <w:spacing w:line="400" w:lineRule="exact"/>
              <w:jc w:val="center"/>
              <w:rPr>
                <w:rFonts w:ascii="宋体" w:hAnsi="宋体" w:cs="宋体"/>
              </w:rPr>
            </w:pPr>
            <w:r>
              <w:rPr>
                <w:rFonts w:hint="eastAsia" w:ascii="宋体" w:hAnsi="宋体" w:cs="宋体"/>
              </w:rPr>
              <w:t>GA-BLZD-ILROE12W-16</w:t>
            </w:r>
          </w:p>
        </w:tc>
        <w:tc>
          <w:tcPr>
            <w:tcW w:w="1276" w:type="dxa"/>
            <w:vAlign w:val="center"/>
          </w:tcPr>
          <w:p>
            <w:pPr>
              <w:spacing w:line="400" w:lineRule="exact"/>
              <w:jc w:val="center"/>
              <w:rPr>
                <w:rFonts w:ascii="宋体" w:hAnsi="宋体" w:cs="宋体"/>
              </w:rPr>
            </w:pPr>
            <w:r>
              <w:rPr>
                <w:rFonts w:hint="eastAsia" w:ascii="宋体" w:hAnsi="宋体" w:cs="宋体"/>
              </w:rPr>
              <w:t>1</w:t>
            </w:r>
          </w:p>
        </w:tc>
        <w:tc>
          <w:tcPr>
            <w:tcW w:w="1417" w:type="dxa"/>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Align w:val="center"/>
          </w:tcPr>
          <w:p>
            <w:pPr>
              <w:numPr>
                <w:ilvl w:val="0"/>
                <w:numId w:val="5"/>
              </w:numPr>
              <w:tabs>
                <w:tab w:val="left" w:pos="420"/>
              </w:tabs>
              <w:spacing w:line="400" w:lineRule="exact"/>
              <w:jc w:val="center"/>
              <w:rPr>
                <w:rFonts w:ascii="宋体" w:hAnsi="宋体" w:cs="宋体"/>
              </w:rPr>
            </w:pPr>
          </w:p>
        </w:tc>
        <w:tc>
          <w:tcPr>
            <w:tcW w:w="2693" w:type="dxa"/>
            <w:vAlign w:val="center"/>
          </w:tcPr>
          <w:p>
            <w:pPr>
              <w:spacing w:line="400" w:lineRule="exact"/>
              <w:jc w:val="center"/>
              <w:rPr>
                <w:rFonts w:ascii="宋体" w:hAnsi="宋体" w:cs="宋体"/>
              </w:rPr>
            </w:pPr>
            <w:r>
              <w:rPr>
                <w:rFonts w:hint="eastAsia" w:ascii="宋体" w:hAnsi="宋体" w:cs="宋体"/>
              </w:rPr>
              <w:t>疏散指示灯（西区）</w:t>
            </w:r>
          </w:p>
        </w:tc>
        <w:tc>
          <w:tcPr>
            <w:tcW w:w="3402" w:type="dxa"/>
            <w:gridSpan w:val="2"/>
            <w:vAlign w:val="center"/>
          </w:tcPr>
          <w:p>
            <w:pPr>
              <w:spacing w:line="400" w:lineRule="exact"/>
              <w:jc w:val="center"/>
              <w:rPr>
                <w:rFonts w:ascii="宋体" w:hAnsi="宋体" w:cs="宋体"/>
              </w:rPr>
            </w:pPr>
            <w:r>
              <w:rPr>
                <w:rFonts w:hint="eastAsia" w:ascii="宋体" w:hAnsi="宋体" w:cs="宋体"/>
              </w:rPr>
              <w:t>CZ-BLJC-ILRE11W-(e-bus/10-20)X</w:t>
            </w:r>
          </w:p>
        </w:tc>
        <w:tc>
          <w:tcPr>
            <w:tcW w:w="1276" w:type="dxa"/>
            <w:vAlign w:val="center"/>
          </w:tcPr>
          <w:p>
            <w:pPr>
              <w:spacing w:line="400" w:lineRule="exact"/>
              <w:jc w:val="center"/>
              <w:rPr>
                <w:rFonts w:ascii="宋体" w:hAnsi="宋体" w:cs="宋体"/>
              </w:rPr>
            </w:pPr>
            <w:r>
              <w:rPr>
                <w:rFonts w:hint="eastAsia" w:ascii="宋体" w:hAnsi="宋体" w:cs="宋体"/>
              </w:rPr>
              <w:t>1</w:t>
            </w:r>
          </w:p>
        </w:tc>
        <w:tc>
          <w:tcPr>
            <w:tcW w:w="1417" w:type="dxa"/>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Align w:val="center"/>
          </w:tcPr>
          <w:p>
            <w:pPr>
              <w:numPr>
                <w:ilvl w:val="0"/>
                <w:numId w:val="5"/>
              </w:numPr>
              <w:tabs>
                <w:tab w:val="left" w:pos="420"/>
              </w:tabs>
              <w:spacing w:line="400" w:lineRule="exact"/>
              <w:jc w:val="center"/>
              <w:rPr>
                <w:rFonts w:ascii="宋体" w:hAnsi="宋体" w:cs="宋体"/>
              </w:rPr>
            </w:pPr>
          </w:p>
        </w:tc>
        <w:tc>
          <w:tcPr>
            <w:tcW w:w="2693" w:type="dxa"/>
            <w:vAlign w:val="center"/>
          </w:tcPr>
          <w:p>
            <w:pPr>
              <w:spacing w:line="400" w:lineRule="exact"/>
              <w:jc w:val="center"/>
              <w:rPr>
                <w:rFonts w:ascii="宋体" w:hAnsi="宋体" w:cs="宋体"/>
              </w:rPr>
            </w:pPr>
            <w:r>
              <w:rPr>
                <w:rFonts w:hint="eastAsia" w:ascii="宋体" w:hAnsi="宋体" w:cs="宋体"/>
              </w:rPr>
              <w:t>安全出口指示灯（西区）</w:t>
            </w:r>
          </w:p>
        </w:tc>
        <w:tc>
          <w:tcPr>
            <w:tcW w:w="3402" w:type="dxa"/>
            <w:gridSpan w:val="2"/>
            <w:vAlign w:val="center"/>
          </w:tcPr>
          <w:p>
            <w:pPr>
              <w:spacing w:line="400" w:lineRule="exact"/>
              <w:jc w:val="center"/>
              <w:rPr>
                <w:rFonts w:ascii="宋体" w:hAnsi="宋体" w:cs="宋体"/>
              </w:rPr>
            </w:pPr>
            <w:r>
              <w:rPr>
                <w:rFonts w:hint="eastAsia" w:ascii="宋体" w:hAnsi="宋体" w:cs="宋体"/>
              </w:rPr>
              <w:t>CZ-BLJC-ILRE11W-(e-bus/10-20)X</w:t>
            </w:r>
          </w:p>
        </w:tc>
        <w:tc>
          <w:tcPr>
            <w:tcW w:w="1276" w:type="dxa"/>
            <w:vAlign w:val="center"/>
          </w:tcPr>
          <w:p>
            <w:pPr>
              <w:spacing w:line="400" w:lineRule="exact"/>
              <w:jc w:val="center"/>
              <w:rPr>
                <w:rFonts w:ascii="宋体" w:hAnsi="宋体" w:cs="宋体"/>
              </w:rPr>
            </w:pPr>
            <w:r>
              <w:rPr>
                <w:rFonts w:hint="eastAsia" w:ascii="宋体" w:hAnsi="宋体" w:cs="宋体"/>
              </w:rPr>
              <w:t>1</w:t>
            </w:r>
          </w:p>
        </w:tc>
        <w:tc>
          <w:tcPr>
            <w:tcW w:w="1417" w:type="dxa"/>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Align w:val="center"/>
          </w:tcPr>
          <w:p>
            <w:pPr>
              <w:numPr>
                <w:ilvl w:val="0"/>
                <w:numId w:val="5"/>
              </w:numPr>
              <w:tabs>
                <w:tab w:val="left" w:pos="420"/>
              </w:tabs>
              <w:spacing w:line="400" w:lineRule="exact"/>
              <w:jc w:val="center"/>
              <w:rPr>
                <w:rFonts w:ascii="宋体" w:hAnsi="宋体" w:cs="宋体"/>
              </w:rPr>
            </w:pPr>
          </w:p>
        </w:tc>
        <w:tc>
          <w:tcPr>
            <w:tcW w:w="2693" w:type="dxa"/>
            <w:vAlign w:val="center"/>
          </w:tcPr>
          <w:p>
            <w:pPr>
              <w:spacing w:line="400" w:lineRule="exact"/>
              <w:jc w:val="center"/>
              <w:rPr>
                <w:rFonts w:ascii="宋体" w:hAnsi="宋体" w:cs="宋体"/>
              </w:rPr>
            </w:pPr>
            <w:r>
              <w:rPr>
                <w:rFonts w:hint="eastAsia" w:ascii="宋体" w:hAnsi="宋体" w:cs="宋体"/>
              </w:rPr>
              <w:t>紧急启停按钮</w:t>
            </w:r>
          </w:p>
        </w:tc>
        <w:tc>
          <w:tcPr>
            <w:tcW w:w="3402" w:type="dxa"/>
            <w:gridSpan w:val="2"/>
            <w:vAlign w:val="center"/>
          </w:tcPr>
          <w:p>
            <w:pPr>
              <w:spacing w:line="400" w:lineRule="exact"/>
              <w:jc w:val="center"/>
              <w:rPr>
                <w:rFonts w:ascii="宋体" w:hAnsi="宋体" w:cs="宋体"/>
              </w:rPr>
            </w:pPr>
            <w:r>
              <w:rPr>
                <w:rFonts w:hint="eastAsia" w:ascii="宋体" w:hAnsi="宋体" w:cs="宋体"/>
              </w:rPr>
              <w:t>HJ-1763</w:t>
            </w:r>
          </w:p>
        </w:tc>
        <w:tc>
          <w:tcPr>
            <w:tcW w:w="1276" w:type="dxa"/>
            <w:vAlign w:val="center"/>
          </w:tcPr>
          <w:p>
            <w:pPr>
              <w:spacing w:line="400" w:lineRule="exact"/>
              <w:jc w:val="center"/>
              <w:rPr>
                <w:rFonts w:ascii="宋体" w:hAnsi="宋体" w:cs="宋体"/>
              </w:rPr>
            </w:pPr>
            <w:r>
              <w:rPr>
                <w:rFonts w:hint="eastAsia" w:ascii="宋体" w:hAnsi="宋体" w:cs="宋体"/>
              </w:rPr>
              <w:t>1</w:t>
            </w:r>
          </w:p>
        </w:tc>
        <w:tc>
          <w:tcPr>
            <w:tcW w:w="1417" w:type="dxa"/>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Align w:val="center"/>
          </w:tcPr>
          <w:p>
            <w:pPr>
              <w:numPr>
                <w:ilvl w:val="0"/>
                <w:numId w:val="5"/>
              </w:numPr>
              <w:tabs>
                <w:tab w:val="left" w:pos="420"/>
              </w:tabs>
              <w:spacing w:line="400" w:lineRule="exact"/>
              <w:jc w:val="center"/>
              <w:rPr>
                <w:rFonts w:ascii="宋体" w:hAnsi="宋体" w:cs="宋体"/>
              </w:rPr>
            </w:pPr>
          </w:p>
        </w:tc>
        <w:tc>
          <w:tcPr>
            <w:tcW w:w="2693" w:type="dxa"/>
            <w:vAlign w:val="center"/>
          </w:tcPr>
          <w:p>
            <w:pPr>
              <w:spacing w:line="400" w:lineRule="exact"/>
              <w:jc w:val="center"/>
              <w:rPr>
                <w:rFonts w:ascii="宋体" w:hAnsi="宋体" w:cs="宋体"/>
              </w:rPr>
            </w:pPr>
            <w:r>
              <w:rPr>
                <w:rFonts w:hint="eastAsia" w:ascii="宋体" w:hAnsi="宋体" w:cs="宋体"/>
              </w:rPr>
              <w:t>应急广播控制柜</w:t>
            </w:r>
          </w:p>
        </w:tc>
        <w:tc>
          <w:tcPr>
            <w:tcW w:w="3402" w:type="dxa"/>
            <w:gridSpan w:val="2"/>
            <w:vAlign w:val="center"/>
          </w:tcPr>
          <w:p>
            <w:pPr>
              <w:spacing w:line="400" w:lineRule="exact"/>
              <w:jc w:val="center"/>
              <w:rPr>
                <w:rFonts w:ascii="宋体" w:hAnsi="宋体" w:cs="宋体"/>
              </w:rPr>
            </w:pPr>
            <w:r>
              <w:rPr>
                <w:rFonts w:hint="eastAsia" w:ascii="宋体" w:hAnsi="宋体" w:cs="宋体"/>
              </w:rPr>
              <w:t>HJ-1757B-SW500G</w:t>
            </w:r>
          </w:p>
        </w:tc>
        <w:tc>
          <w:tcPr>
            <w:tcW w:w="1276" w:type="dxa"/>
            <w:vAlign w:val="center"/>
          </w:tcPr>
          <w:p>
            <w:pPr>
              <w:spacing w:line="400" w:lineRule="exact"/>
              <w:jc w:val="center"/>
              <w:rPr>
                <w:rFonts w:ascii="宋体" w:hAnsi="宋体" w:cs="宋体"/>
              </w:rPr>
            </w:pPr>
            <w:r>
              <w:rPr>
                <w:rFonts w:hint="eastAsia" w:ascii="宋体" w:hAnsi="宋体" w:cs="宋体"/>
              </w:rPr>
              <w:t>1</w:t>
            </w:r>
          </w:p>
        </w:tc>
        <w:tc>
          <w:tcPr>
            <w:tcW w:w="1417" w:type="dxa"/>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568" w:type="dxa"/>
            <w:vAlign w:val="center"/>
          </w:tcPr>
          <w:p>
            <w:pPr>
              <w:numPr>
                <w:ilvl w:val="0"/>
                <w:numId w:val="5"/>
              </w:numPr>
              <w:tabs>
                <w:tab w:val="left" w:pos="420"/>
              </w:tabs>
              <w:spacing w:line="400" w:lineRule="exact"/>
              <w:jc w:val="center"/>
              <w:rPr>
                <w:rFonts w:ascii="宋体" w:hAnsi="宋体" w:cs="宋体"/>
              </w:rPr>
            </w:pPr>
          </w:p>
        </w:tc>
        <w:tc>
          <w:tcPr>
            <w:tcW w:w="2693" w:type="dxa"/>
            <w:vAlign w:val="center"/>
          </w:tcPr>
          <w:p>
            <w:pPr>
              <w:spacing w:line="400" w:lineRule="exact"/>
              <w:jc w:val="center"/>
              <w:rPr>
                <w:rFonts w:ascii="宋体" w:hAnsi="宋体" w:cs="宋体"/>
              </w:rPr>
            </w:pPr>
            <w:r>
              <w:rPr>
                <w:rFonts w:hint="eastAsia" w:ascii="宋体" w:hAnsi="宋体" w:cs="宋体"/>
              </w:rPr>
              <w:t>地灯</w:t>
            </w:r>
          </w:p>
        </w:tc>
        <w:tc>
          <w:tcPr>
            <w:tcW w:w="3402" w:type="dxa"/>
            <w:gridSpan w:val="2"/>
            <w:vAlign w:val="center"/>
          </w:tcPr>
          <w:p>
            <w:pPr>
              <w:spacing w:line="400" w:lineRule="exact"/>
              <w:jc w:val="center"/>
              <w:rPr>
                <w:rFonts w:ascii="宋体" w:hAnsi="宋体" w:cs="宋体"/>
              </w:rPr>
            </w:pPr>
            <w:r>
              <w:rPr>
                <w:rFonts w:hint="eastAsia" w:ascii="宋体" w:hAnsi="宋体" w:cs="宋体"/>
              </w:rPr>
              <w:t>DV-BLZD-13W-66BB</w:t>
            </w:r>
          </w:p>
        </w:tc>
        <w:tc>
          <w:tcPr>
            <w:tcW w:w="1276" w:type="dxa"/>
            <w:vAlign w:val="center"/>
          </w:tcPr>
          <w:p>
            <w:pPr>
              <w:spacing w:line="400" w:lineRule="exact"/>
              <w:jc w:val="center"/>
              <w:rPr>
                <w:rFonts w:ascii="宋体" w:hAnsi="宋体" w:cs="宋体"/>
              </w:rPr>
            </w:pPr>
            <w:r>
              <w:rPr>
                <w:rFonts w:hint="eastAsia" w:ascii="宋体" w:hAnsi="宋体" w:cs="宋体"/>
              </w:rPr>
              <w:t>1</w:t>
            </w:r>
          </w:p>
        </w:tc>
        <w:tc>
          <w:tcPr>
            <w:tcW w:w="1417" w:type="dxa"/>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5"/>
              </w:numPr>
              <w:tabs>
                <w:tab w:val="left" w:pos="420"/>
              </w:tabs>
              <w:spacing w:line="400" w:lineRule="exact"/>
              <w:jc w:val="center"/>
              <w:rPr>
                <w:rFonts w:ascii="宋体" w:hAnsi="宋体" w:cs="宋体"/>
              </w:rPr>
            </w:pPr>
          </w:p>
        </w:tc>
        <w:tc>
          <w:tcPr>
            <w:tcW w:w="2693" w:type="dxa"/>
          </w:tcPr>
          <w:p>
            <w:pPr>
              <w:spacing w:line="400" w:lineRule="exact"/>
              <w:jc w:val="center"/>
              <w:rPr>
                <w:rFonts w:ascii="宋体" w:hAnsi="宋体" w:cs="宋体"/>
              </w:rPr>
            </w:pPr>
            <w:r>
              <w:rPr>
                <w:rFonts w:hint="eastAsia" w:ascii="宋体" w:hAnsi="宋体" w:cs="宋体"/>
              </w:rPr>
              <w:t>消防电话</w:t>
            </w:r>
          </w:p>
        </w:tc>
        <w:tc>
          <w:tcPr>
            <w:tcW w:w="3402" w:type="dxa"/>
            <w:gridSpan w:val="2"/>
          </w:tcPr>
          <w:p>
            <w:pPr>
              <w:spacing w:line="400" w:lineRule="exact"/>
              <w:jc w:val="center"/>
              <w:rPr>
                <w:rFonts w:ascii="宋体" w:hAnsi="宋体" w:cs="宋体"/>
              </w:rPr>
            </w:pPr>
            <w:r>
              <w:rPr>
                <w:rFonts w:hint="eastAsia" w:ascii="宋体" w:hAnsi="宋体" w:cs="宋体"/>
              </w:rPr>
              <w:t>HY5716B</w:t>
            </w:r>
          </w:p>
        </w:tc>
        <w:tc>
          <w:tcPr>
            <w:tcW w:w="1276" w:type="dxa"/>
          </w:tcPr>
          <w:p>
            <w:pPr>
              <w:spacing w:line="400" w:lineRule="exact"/>
              <w:jc w:val="center"/>
              <w:rPr>
                <w:rFonts w:ascii="宋体" w:hAnsi="宋体" w:cs="宋体"/>
              </w:rPr>
            </w:pPr>
            <w:r>
              <w:rPr>
                <w:rFonts w:hint="eastAsia" w:ascii="宋体" w:hAnsi="宋体" w:cs="宋体"/>
              </w:rPr>
              <w:t>1</w:t>
            </w:r>
          </w:p>
        </w:tc>
        <w:tc>
          <w:tcPr>
            <w:tcW w:w="1417" w:type="dxa"/>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5"/>
              </w:numPr>
              <w:tabs>
                <w:tab w:val="left" w:pos="420"/>
              </w:tabs>
              <w:spacing w:line="400" w:lineRule="exact"/>
              <w:jc w:val="center"/>
              <w:rPr>
                <w:rFonts w:ascii="宋体" w:hAnsi="宋体" w:cs="宋体"/>
              </w:rPr>
            </w:pPr>
          </w:p>
        </w:tc>
        <w:tc>
          <w:tcPr>
            <w:tcW w:w="2693" w:type="dxa"/>
          </w:tcPr>
          <w:p>
            <w:pPr>
              <w:spacing w:line="400" w:lineRule="exact"/>
              <w:jc w:val="center"/>
              <w:rPr>
                <w:rFonts w:ascii="宋体" w:hAnsi="宋体" w:cs="宋体"/>
              </w:rPr>
            </w:pPr>
            <w:r>
              <w:rPr>
                <w:rFonts w:hint="eastAsia" w:ascii="宋体" w:hAnsi="宋体" w:cs="宋体"/>
              </w:rPr>
              <w:t>消防喷淋</w:t>
            </w:r>
          </w:p>
        </w:tc>
        <w:tc>
          <w:tcPr>
            <w:tcW w:w="3402" w:type="dxa"/>
            <w:gridSpan w:val="2"/>
          </w:tcPr>
          <w:p>
            <w:pPr>
              <w:spacing w:line="400" w:lineRule="exact"/>
              <w:jc w:val="center"/>
              <w:rPr>
                <w:rFonts w:ascii="宋体" w:hAnsi="宋体" w:cs="宋体"/>
              </w:rPr>
            </w:pPr>
            <w:r>
              <w:rPr>
                <w:rFonts w:hint="eastAsia" w:ascii="宋体" w:hAnsi="宋体" w:cs="宋体"/>
              </w:rPr>
              <w:t>ZSTX15-68</w:t>
            </w:r>
          </w:p>
        </w:tc>
        <w:tc>
          <w:tcPr>
            <w:tcW w:w="1276" w:type="dxa"/>
          </w:tcPr>
          <w:p>
            <w:pPr>
              <w:spacing w:line="400" w:lineRule="exact"/>
              <w:jc w:val="center"/>
              <w:rPr>
                <w:rFonts w:ascii="宋体" w:hAnsi="宋体" w:cs="宋体"/>
              </w:rPr>
            </w:pPr>
            <w:r>
              <w:rPr>
                <w:rFonts w:hint="eastAsia" w:ascii="宋体" w:hAnsi="宋体" w:cs="宋体"/>
              </w:rPr>
              <w:t>1</w:t>
            </w:r>
          </w:p>
        </w:tc>
        <w:tc>
          <w:tcPr>
            <w:tcW w:w="1417" w:type="dxa"/>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5"/>
              </w:numPr>
              <w:tabs>
                <w:tab w:val="left" w:pos="420"/>
              </w:tabs>
              <w:spacing w:line="400" w:lineRule="exact"/>
              <w:jc w:val="center"/>
              <w:rPr>
                <w:rFonts w:ascii="宋体" w:hAnsi="宋体" w:cs="宋体"/>
              </w:rPr>
            </w:pPr>
          </w:p>
        </w:tc>
        <w:tc>
          <w:tcPr>
            <w:tcW w:w="2693" w:type="dxa"/>
          </w:tcPr>
          <w:p>
            <w:pPr>
              <w:spacing w:line="400" w:lineRule="exact"/>
              <w:jc w:val="center"/>
              <w:rPr>
                <w:rFonts w:ascii="宋体" w:hAnsi="宋体" w:cs="宋体"/>
              </w:rPr>
            </w:pPr>
            <w:r>
              <w:rPr>
                <w:rFonts w:hint="eastAsia" w:ascii="宋体" w:hAnsi="宋体" w:cs="宋体"/>
              </w:rPr>
              <w:t>压力开关</w:t>
            </w:r>
          </w:p>
        </w:tc>
        <w:tc>
          <w:tcPr>
            <w:tcW w:w="3402" w:type="dxa"/>
            <w:gridSpan w:val="2"/>
          </w:tcPr>
          <w:p>
            <w:pPr>
              <w:spacing w:line="400" w:lineRule="exact"/>
              <w:jc w:val="center"/>
              <w:rPr>
                <w:rFonts w:ascii="宋体" w:hAnsi="宋体" w:cs="宋体"/>
              </w:rPr>
            </w:pPr>
            <w:r>
              <w:rPr>
                <w:rFonts w:hint="eastAsia" w:ascii="宋体" w:hAnsi="宋体" w:cs="宋体"/>
              </w:rPr>
              <w:t>ZSJY1.6BP-S</w:t>
            </w:r>
          </w:p>
        </w:tc>
        <w:tc>
          <w:tcPr>
            <w:tcW w:w="1276" w:type="dxa"/>
          </w:tcPr>
          <w:p>
            <w:pPr>
              <w:spacing w:line="400" w:lineRule="exact"/>
              <w:jc w:val="center"/>
              <w:rPr>
                <w:rFonts w:ascii="宋体" w:hAnsi="宋体" w:cs="宋体"/>
              </w:rPr>
            </w:pPr>
            <w:r>
              <w:rPr>
                <w:rFonts w:hint="eastAsia" w:ascii="宋体" w:hAnsi="宋体" w:cs="宋体"/>
              </w:rPr>
              <w:t>1</w:t>
            </w:r>
          </w:p>
        </w:tc>
        <w:tc>
          <w:tcPr>
            <w:tcW w:w="1417" w:type="dxa"/>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5"/>
              </w:numPr>
              <w:tabs>
                <w:tab w:val="left" w:pos="420"/>
              </w:tabs>
              <w:spacing w:line="400" w:lineRule="exact"/>
              <w:jc w:val="center"/>
              <w:rPr>
                <w:rFonts w:ascii="宋体" w:hAnsi="宋体" w:cs="宋体"/>
              </w:rPr>
            </w:pPr>
          </w:p>
        </w:tc>
        <w:tc>
          <w:tcPr>
            <w:tcW w:w="2693" w:type="dxa"/>
          </w:tcPr>
          <w:p>
            <w:pPr>
              <w:spacing w:line="400" w:lineRule="exact"/>
              <w:jc w:val="center"/>
              <w:rPr>
                <w:rFonts w:ascii="宋体" w:hAnsi="宋体" w:cs="宋体"/>
              </w:rPr>
            </w:pPr>
            <w:r>
              <w:rPr>
                <w:rFonts w:hint="eastAsia" w:ascii="宋体" w:hAnsi="宋体" w:cs="宋体"/>
              </w:rPr>
              <w:t>消火栓箱</w:t>
            </w:r>
          </w:p>
        </w:tc>
        <w:tc>
          <w:tcPr>
            <w:tcW w:w="3402" w:type="dxa"/>
            <w:gridSpan w:val="2"/>
          </w:tcPr>
          <w:p>
            <w:pPr>
              <w:spacing w:line="400" w:lineRule="exact"/>
              <w:jc w:val="center"/>
              <w:rPr>
                <w:rFonts w:ascii="宋体" w:hAnsi="宋体" w:cs="宋体"/>
              </w:rPr>
            </w:pPr>
            <w:r>
              <w:rPr>
                <w:rFonts w:hint="eastAsia" w:ascii="宋体" w:hAnsi="宋体" w:cs="宋体"/>
              </w:rPr>
              <w:t>180*70*25</w:t>
            </w:r>
          </w:p>
        </w:tc>
        <w:tc>
          <w:tcPr>
            <w:tcW w:w="1276" w:type="dxa"/>
          </w:tcPr>
          <w:p>
            <w:pPr>
              <w:spacing w:line="400" w:lineRule="exact"/>
              <w:jc w:val="center"/>
              <w:rPr>
                <w:rFonts w:ascii="宋体" w:hAnsi="宋体" w:cs="宋体"/>
              </w:rPr>
            </w:pPr>
            <w:r>
              <w:rPr>
                <w:rFonts w:hint="eastAsia" w:ascii="宋体" w:hAnsi="宋体" w:cs="宋体"/>
              </w:rPr>
              <w:t>1</w:t>
            </w:r>
          </w:p>
        </w:tc>
        <w:tc>
          <w:tcPr>
            <w:tcW w:w="1417" w:type="dxa"/>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numPr>
                <w:ilvl w:val="0"/>
                <w:numId w:val="5"/>
              </w:numPr>
              <w:tabs>
                <w:tab w:val="left" w:pos="420"/>
              </w:tabs>
              <w:spacing w:line="400" w:lineRule="exact"/>
              <w:jc w:val="center"/>
              <w:rPr>
                <w:rFonts w:ascii="宋体" w:hAnsi="宋体" w:cs="宋体"/>
              </w:rPr>
            </w:pPr>
          </w:p>
        </w:tc>
        <w:tc>
          <w:tcPr>
            <w:tcW w:w="2693" w:type="dxa"/>
            <w:vAlign w:val="center"/>
          </w:tcPr>
          <w:p>
            <w:pPr>
              <w:spacing w:line="400" w:lineRule="exact"/>
              <w:jc w:val="center"/>
              <w:rPr>
                <w:rFonts w:ascii="宋体" w:hAnsi="宋体" w:cs="宋体"/>
              </w:rPr>
            </w:pPr>
            <w:r>
              <w:rPr>
                <w:rFonts w:hint="eastAsia" w:ascii="宋体" w:hAnsi="宋体" w:cs="宋体"/>
              </w:rPr>
              <w:t>离心式水泵</w:t>
            </w:r>
          </w:p>
        </w:tc>
        <w:tc>
          <w:tcPr>
            <w:tcW w:w="3402" w:type="dxa"/>
            <w:gridSpan w:val="2"/>
            <w:vAlign w:val="center"/>
          </w:tcPr>
          <w:p>
            <w:pPr>
              <w:spacing w:line="400" w:lineRule="exact"/>
              <w:jc w:val="center"/>
              <w:rPr>
                <w:rFonts w:ascii="宋体" w:hAnsi="宋体" w:cs="宋体"/>
              </w:rPr>
            </w:pPr>
            <w:r>
              <w:rPr>
                <w:rFonts w:hint="eastAsia" w:ascii="宋体" w:hAnsi="宋体" w:cs="宋体"/>
              </w:rPr>
              <w:t>YB2-280S-2</w:t>
            </w:r>
          </w:p>
        </w:tc>
        <w:tc>
          <w:tcPr>
            <w:tcW w:w="1276" w:type="dxa"/>
            <w:vAlign w:val="center"/>
          </w:tcPr>
          <w:p>
            <w:pPr>
              <w:spacing w:line="400" w:lineRule="exact"/>
              <w:jc w:val="center"/>
              <w:rPr>
                <w:rFonts w:ascii="宋体" w:hAnsi="宋体" w:cs="宋体"/>
              </w:rPr>
            </w:pPr>
            <w:r>
              <w:rPr>
                <w:rFonts w:hint="eastAsia" w:ascii="宋体" w:hAnsi="宋体" w:cs="宋体"/>
              </w:rPr>
              <w:t>1</w:t>
            </w:r>
          </w:p>
        </w:tc>
        <w:tc>
          <w:tcPr>
            <w:tcW w:w="1417" w:type="dxa"/>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numPr>
                <w:ilvl w:val="0"/>
                <w:numId w:val="5"/>
              </w:numPr>
              <w:tabs>
                <w:tab w:val="left" w:pos="420"/>
              </w:tabs>
              <w:spacing w:line="400" w:lineRule="exact"/>
              <w:jc w:val="center"/>
              <w:rPr>
                <w:rFonts w:ascii="宋体" w:hAnsi="宋体" w:cs="宋体"/>
              </w:rPr>
            </w:pPr>
          </w:p>
        </w:tc>
        <w:tc>
          <w:tcPr>
            <w:tcW w:w="2693" w:type="dxa"/>
            <w:vAlign w:val="center"/>
          </w:tcPr>
          <w:p>
            <w:pPr>
              <w:spacing w:line="400" w:lineRule="exact"/>
              <w:jc w:val="center"/>
              <w:rPr>
                <w:rFonts w:ascii="宋体" w:hAnsi="宋体" w:cs="宋体"/>
              </w:rPr>
            </w:pPr>
            <w:r>
              <w:rPr>
                <w:rFonts w:hint="eastAsia" w:ascii="宋体" w:hAnsi="宋体" w:cs="宋体"/>
              </w:rPr>
              <w:t>排烟阀</w:t>
            </w:r>
          </w:p>
        </w:tc>
        <w:tc>
          <w:tcPr>
            <w:tcW w:w="3402" w:type="dxa"/>
            <w:gridSpan w:val="2"/>
            <w:vAlign w:val="center"/>
          </w:tcPr>
          <w:p>
            <w:pPr>
              <w:spacing w:line="400" w:lineRule="exact"/>
              <w:jc w:val="center"/>
              <w:rPr>
                <w:rFonts w:ascii="宋体" w:hAnsi="宋体" w:cs="宋体"/>
              </w:rPr>
            </w:pPr>
            <w:r>
              <w:rPr>
                <w:rFonts w:hint="eastAsia" w:ascii="宋体" w:hAnsi="宋体" w:cs="宋体"/>
              </w:rPr>
              <w:t>PFHP-WSDC-K1000*800</w:t>
            </w:r>
          </w:p>
        </w:tc>
        <w:tc>
          <w:tcPr>
            <w:tcW w:w="1276" w:type="dxa"/>
            <w:vAlign w:val="center"/>
          </w:tcPr>
          <w:p>
            <w:pPr>
              <w:spacing w:line="400" w:lineRule="exact"/>
              <w:jc w:val="center"/>
              <w:rPr>
                <w:rFonts w:ascii="宋体" w:hAnsi="宋体" w:cs="宋体"/>
              </w:rPr>
            </w:pPr>
            <w:r>
              <w:rPr>
                <w:rFonts w:hint="eastAsia" w:ascii="宋体" w:hAnsi="宋体" w:cs="宋体"/>
              </w:rPr>
              <w:t>1</w:t>
            </w:r>
          </w:p>
        </w:tc>
        <w:tc>
          <w:tcPr>
            <w:tcW w:w="1417" w:type="dxa"/>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numPr>
                <w:ilvl w:val="0"/>
                <w:numId w:val="5"/>
              </w:numPr>
              <w:tabs>
                <w:tab w:val="left" w:pos="420"/>
              </w:tabs>
              <w:spacing w:line="400" w:lineRule="exact"/>
              <w:jc w:val="center"/>
              <w:rPr>
                <w:rFonts w:ascii="宋体" w:hAnsi="宋体" w:cs="宋体"/>
              </w:rPr>
            </w:pPr>
          </w:p>
        </w:tc>
        <w:tc>
          <w:tcPr>
            <w:tcW w:w="2693" w:type="dxa"/>
            <w:vAlign w:val="center"/>
          </w:tcPr>
          <w:p>
            <w:pPr>
              <w:spacing w:line="400" w:lineRule="exact"/>
              <w:jc w:val="center"/>
              <w:rPr>
                <w:rFonts w:ascii="宋体" w:hAnsi="宋体" w:cs="宋体"/>
              </w:rPr>
            </w:pPr>
            <w:r>
              <w:rPr>
                <w:rFonts w:hint="eastAsia" w:ascii="宋体" w:hAnsi="宋体" w:cs="宋体"/>
              </w:rPr>
              <w:t>水流指示器</w:t>
            </w:r>
          </w:p>
        </w:tc>
        <w:tc>
          <w:tcPr>
            <w:tcW w:w="3402" w:type="dxa"/>
            <w:gridSpan w:val="2"/>
            <w:vAlign w:val="center"/>
          </w:tcPr>
          <w:p>
            <w:pPr>
              <w:spacing w:line="400" w:lineRule="exact"/>
              <w:jc w:val="center"/>
              <w:rPr>
                <w:rFonts w:ascii="宋体" w:hAnsi="宋体" w:cs="宋体"/>
              </w:rPr>
            </w:pPr>
            <w:r>
              <w:rPr>
                <w:rFonts w:hint="eastAsia" w:ascii="宋体" w:hAnsi="宋体" w:cs="宋体"/>
              </w:rPr>
              <w:t>DN100</w:t>
            </w:r>
          </w:p>
        </w:tc>
        <w:tc>
          <w:tcPr>
            <w:tcW w:w="1276" w:type="dxa"/>
            <w:vAlign w:val="center"/>
          </w:tcPr>
          <w:p>
            <w:pPr>
              <w:spacing w:line="400" w:lineRule="exact"/>
              <w:jc w:val="center"/>
              <w:rPr>
                <w:rFonts w:ascii="宋体" w:hAnsi="宋体" w:cs="宋体"/>
              </w:rPr>
            </w:pPr>
            <w:r>
              <w:rPr>
                <w:rFonts w:hint="eastAsia" w:ascii="宋体" w:hAnsi="宋体" w:cs="宋体"/>
              </w:rPr>
              <w:t>1</w:t>
            </w:r>
          </w:p>
        </w:tc>
        <w:tc>
          <w:tcPr>
            <w:tcW w:w="1417" w:type="dxa"/>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numPr>
                <w:ilvl w:val="0"/>
                <w:numId w:val="5"/>
              </w:numPr>
              <w:tabs>
                <w:tab w:val="left" w:pos="420"/>
              </w:tabs>
              <w:spacing w:line="400" w:lineRule="exact"/>
              <w:jc w:val="center"/>
              <w:rPr>
                <w:rFonts w:ascii="宋体" w:hAnsi="宋体" w:cs="宋体"/>
              </w:rPr>
            </w:pPr>
          </w:p>
        </w:tc>
        <w:tc>
          <w:tcPr>
            <w:tcW w:w="2693" w:type="dxa"/>
            <w:vAlign w:val="center"/>
          </w:tcPr>
          <w:p>
            <w:pPr>
              <w:spacing w:line="400" w:lineRule="exact"/>
              <w:jc w:val="center"/>
              <w:rPr>
                <w:rFonts w:ascii="宋体" w:hAnsi="宋体" w:cs="宋体"/>
              </w:rPr>
            </w:pPr>
            <w:r>
              <w:rPr>
                <w:rFonts w:hint="eastAsia" w:ascii="宋体" w:hAnsi="宋体" w:cs="宋体"/>
              </w:rPr>
              <w:t>电动排烟防火阀</w:t>
            </w:r>
          </w:p>
        </w:tc>
        <w:tc>
          <w:tcPr>
            <w:tcW w:w="3402" w:type="dxa"/>
            <w:gridSpan w:val="2"/>
            <w:vAlign w:val="center"/>
          </w:tcPr>
          <w:p>
            <w:pPr>
              <w:spacing w:line="400" w:lineRule="exact"/>
              <w:jc w:val="center"/>
              <w:rPr>
                <w:rFonts w:ascii="宋体" w:hAnsi="宋体" w:cs="宋体"/>
              </w:rPr>
            </w:pPr>
            <w:r>
              <w:rPr>
                <w:rFonts w:hint="eastAsia" w:ascii="宋体" w:hAnsi="宋体" w:cs="宋体"/>
              </w:rPr>
              <w:t>600*400</w:t>
            </w:r>
          </w:p>
        </w:tc>
        <w:tc>
          <w:tcPr>
            <w:tcW w:w="1276" w:type="dxa"/>
            <w:vAlign w:val="center"/>
          </w:tcPr>
          <w:p>
            <w:pPr>
              <w:spacing w:line="400" w:lineRule="exact"/>
              <w:jc w:val="center"/>
              <w:rPr>
                <w:rFonts w:ascii="宋体" w:hAnsi="宋体" w:cs="宋体"/>
              </w:rPr>
            </w:pPr>
            <w:r>
              <w:rPr>
                <w:rFonts w:hint="eastAsia" w:ascii="宋体" w:hAnsi="宋体" w:cs="宋体"/>
              </w:rPr>
              <w:t>1</w:t>
            </w:r>
          </w:p>
        </w:tc>
        <w:tc>
          <w:tcPr>
            <w:tcW w:w="1417" w:type="dxa"/>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numPr>
                <w:ilvl w:val="0"/>
                <w:numId w:val="5"/>
              </w:numPr>
              <w:tabs>
                <w:tab w:val="left" w:pos="420"/>
              </w:tabs>
              <w:spacing w:line="400" w:lineRule="exact"/>
              <w:jc w:val="center"/>
              <w:rPr>
                <w:rFonts w:ascii="宋体" w:hAnsi="宋体" w:cs="宋体"/>
              </w:rPr>
            </w:pPr>
          </w:p>
        </w:tc>
        <w:tc>
          <w:tcPr>
            <w:tcW w:w="2693" w:type="dxa"/>
            <w:vAlign w:val="center"/>
          </w:tcPr>
          <w:p>
            <w:pPr>
              <w:spacing w:line="400" w:lineRule="exact"/>
              <w:jc w:val="center"/>
              <w:rPr>
                <w:rFonts w:ascii="宋体" w:hAnsi="宋体" w:cs="宋体"/>
              </w:rPr>
            </w:pPr>
            <w:r>
              <w:rPr>
                <w:rFonts w:hint="eastAsia" w:ascii="宋体" w:hAnsi="宋体" w:cs="宋体"/>
              </w:rPr>
              <w:t>消防喷淋稳压泵</w:t>
            </w:r>
          </w:p>
        </w:tc>
        <w:tc>
          <w:tcPr>
            <w:tcW w:w="3402" w:type="dxa"/>
            <w:gridSpan w:val="2"/>
            <w:vAlign w:val="center"/>
          </w:tcPr>
          <w:p>
            <w:pPr>
              <w:spacing w:line="400" w:lineRule="exact"/>
              <w:jc w:val="center"/>
              <w:rPr>
                <w:rFonts w:ascii="宋体" w:hAnsi="宋体" w:cs="宋体"/>
              </w:rPr>
            </w:pPr>
            <w:r>
              <w:rPr>
                <w:rFonts w:hint="eastAsia" w:ascii="宋体" w:hAnsi="宋体" w:cs="宋体"/>
              </w:rPr>
              <w:t>YEZ-160M1-2</w:t>
            </w:r>
          </w:p>
        </w:tc>
        <w:tc>
          <w:tcPr>
            <w:tcW w:w="1276" w:type="dxa"/>
            <w:vAlign w:val="center"/>
          </w:tcPr>
          <w:p>
            <w:pPr>
              <w:spacing w:line="400" w:lineRule="exact"/>
              <w:jc w:val="center"/>
              <w:rPr>
                <w:rFonts w:ascii="宋体" w:hAnsi="宋体" w:cs="宋体"/>
              </w:rPr>
            </w:pPr>
            <w:r>
              <w:rPr>
                <w:rFonts w:hint="eastAsia" w:ascii="宋体" w:hAnsi="宋体" w:cs="宋体"/>
              </w:rPr>
              <w:t>1</w:t>
            </w:r>
          </w:p>
        </w:tc>
        <w:tc>
          <w:tcPr>
            <w:tcW w:w="1417" w:type="dxa"/>
            <w:vAlign w:val="center"/>
          </w:tcPr>
          <w:p>
            <w:pPr>
              <w:spacing w:line="400" w:lineRule="exact"/>
              <w:jc w:val="center"/>
              <w:rPr>
                <w:rFonts w:ascii="宋体" w:hAnsi="宋体" w:cs="宋体"/>
              </w:rPr>
            </w:pPr>
          </w:p>
        </w:tc>
      </w:tr>
    </w:tbl>
    <w:p/>
    <w:p>
      <w:pPr>
        <w:spacing w:line="440" w:lineRule="exact"/>
        <w:jc w:val="center"/>
        <w:rPr>
          <w:rFonts w:ascii="宋体" w:hAnsi="宋体"/>
          <w:bCs/>
          <w:sz w:val="36"/>
          <w:szCs w:val="36"/>
        </w:rPr>
      </w:pPr>
    </w:p>
    <w:p>
      <w:pPr>
        <w:spacing w:line="440" w:lineRule="exact"/>
        <w:jc w:val="center"/>
        <w:rPr>
          <w:rFonts w:ascii="宋体" w:hAnsi="宋体"/>
          <w:bCs/>
          <w:sz w:val="36"/>
          <w:szCs w:val="36"/>
        </w:rPr>
      </w:pPr>
    </w:p>
    <w:p>
      <w:pPr>
        <w:spacing w:line="440" w:lineRule="exact"/>
        <w:jc w:val="center"/>
        <w:rPr>
          <w:rFonts w:ascii="宋体" w:hAnsi="宋体"/>
          <w:bCs/>
          <w:sz w:val="36"/>
          <w:szCs w:val="36"/>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440" w:lineRule="exact"/>
        <w:jc w:val="center"/>
        <w:rPr>
          <w:rFonts w:ascii="宋体" w:hAnsi="宋体"/>
          <w:bCs/>
          <w:sz w:val="36"/>
          <w:szCs w:val="36"/>
        </w:rPr>
      </w:pPr>
    </w:p>
    <w:p>
      <w:pPr>
        <w:spacing w:line="440" w:lineRule="exact"/>
        <w:jc w:val="center"/>
        <w:rPr>
          <w:rFonts w:ascii="宋体" w:hAnsi="宋体"/>
          <w:bCs/>
          <w:sz w:val="36"/>
          <w:szCs w:val="36"/>
        </w:rPr>
      </w:pPr>
      <w:r>
        <w:rPr>
          <w:rFonts w:hint="eastAsia" w:ascii="宋体" w:hAnsi="宋体"/>
          <w:bCs/>
          <w:sz w:val="36"/>
          <w:szCs w:val="36"/>
        </w:rPr>
        <w:t>第五章    资格审查</w:t>
      </w:r>
    </w:p>
    <w:p>
      <w:pPr>
        <w:ind w:firstLine="480"/>
        <w:rPr>
          <w:rFonts w:ascii="宋体" w:hAnsi="宋体"/>
        </w:rPr>
      </w:pPr>
    </w:p>
    <w:tbl>
      <w:tblPr>
        <w:tblStyle w:val="46"/>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2693"/>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trPr>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条款号</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评审因素</w:t>
            </w:r>
          </w:p>
        </w:tc>
        <w:tc>
          <w:tcPr>
            <w:tcW w:w="48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18"/>
                <w:szCs w:val="18"/>
              </w:rPr>
            </w:pPr>
            <w:r>
              <w:rPr>
                <w:rFonts w:ascii="宋体" w:hAnsi="宋体"/>
                <w:sz w:val="18"/>
                <w:szCs w:val="18"/>
              </w:rPr>
              <w:t>2.1.1</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形式评审标准</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0" w:firstLineChars="5"/>
              <w:rPr>
                <w:rFonts w:ascii="宋体" w:hAnsi="宋体"/>
              </w:rPr>
            </w:pPr>
            <w:r>
              <w:rPr>
                <w:rFonts w:hint="eastAsia" w:ascii="宋体" w:hAnsi="宋体"/>
              </w:rPr>
              <w:t>供应商名称</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供应商名称与营业执照一致；不一致的，有有效证明材料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0" w:firstLineChars="5"/>
              <w:rPr>
                <w:rFonts w:ascii="宋体" w:hAnsi="宋体"/>
              </w:rPr>
            </w:pPr>
            <w:r>
              <w:rPr>
                <w:rFonts w:hint="eastAsia" w:ascii="宋体" w:hAnsi="宋体"/>
              </w:rPr>
              <w:t>投标文件签字盖章</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加盖供应商公章和企业法定代表人（或企业法定代表人委托代理人）印章（或签字）。如投标函加盖企业法定代表人委托代理人印章（或签字）的，委托代理人有合法、有效的委托书（原件）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0" w:firstLineChars="5"/>
              <w:textAlignment w:val="center"/>
              <w:rPr>
                <w:rFonts w:ascii="宋体" w:hAnsi="宋体"/>
              </w:rPr>
            </w:pPr>
            <w:r>
              <w:rPr>
                <w:rFonts w:hint="eastAsia" w:ascii="宋体" w:hAnsi="宋体"/>
              </w:rPr>
              <w:t>投标文件的组成内容</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rPr>
            </w:pPr>
            <w:r>
              <w:rPr>
                <w:rFonts w:hint="eastAsia" w:ascii="宋体" w:hAnsi="宋体"/>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09" w:type="dxa"/>
            <w:vMerge w:val="continue"/>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0" w:firstLineChars="5"/>
              <w:textAlignment w:val="center"/>
              <w:rPr>
                <w:rFonts w:ascii="宋体" w:hAnsi="宋体"/>
              </w:rPr>
            </w:pPr>
            <w:r>
              <w:rPr>
                <w:rFonts w:hint="eastAsia" w:ascii="宋体" w:hAnsi="宋体"/>
              </w:rPr>
              <w:t>投标文件及报价唯一</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textAlignment w:val="center"/>
              <w:rPr>
                <w:rFonts w:ascii="宋体" w:hAnsi="宋体"/>
              </w:rPr>
            </w:pPr>
            <w:r>
              <w:rPr>
                <w:rFonts w:hint="eastAsia" w:ascii="宋体" w:hAnsi="宋体"/>
              </w:rPr>
              <w:t>只能有一个投标文件及有效报价（招标文件要求提交备选投标的除外）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9" w:type="dxa"/>
            <w:vMerge w:val="restart"/>
            <w:tcBorders>
              <w:left w:val="single" w:color="auto" w:sz="4" w:space="0"/>
              <w:right w:val="single" w:color="auto" w:sz="4" w:space="0"/>
            </w:tcBorders>
            <w:vAlign w:val="center"/>
          </w:tcPr>
          <w:p>
            <w:pPr>
              <w:spacing w:line="360" w:lineRule="exact"/>
              <w:jc w:val="center"/>
              <w:rPr>
                <w:rFonts w:ascii="宋体" w:hAnsi="宋体"/>
                <w:sz w:val="18"/>
                <w:szCs w:val="18"/>
              </w:rPr>
            </w:pPr>
            <w:r>
              <w:rPr>
                <w:rFonts w:ascii="宋体" w:hAnsi="宋体"/>
                <w:sz w:val="18"/>
                <w:szCs w:val="18"/>
              </w:rPr>
              <w:t>2.1.2</w:t>
            </w:r>
          </w:p>
        </w:tc>
        <w:tc>
          <w:tcPr>
            <w:tcW w:w="992" w:type="dxa"/>
            <w:vMerge w:val="restart"/>
            <w:tcBorders>
              <w:left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资格评审标准</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cs="Arial"/>
              </w:rPr>
              <w:t>法定代表人身份证明书</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cs="Arial"/>
              </w:rPr>
              <w:t>法定代表人身份证明书原件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rPr>
            </w:pPr>
            <w:r>
              <w:rPr>
                <w:rFonts w:hint="eastAsia" w:ascii="宋体" w:hAnsi="宋体" w:cs="Arial"/>
                <w:kern w:val="0"/>
              </w:rPr>
              <w:t>非法定代表人参加的</w:t>
            </w:r>
          </w:p>
        </w:tc>
        <w:tc>
          <w:tcPr>
            <w:tcW w:w="48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rPr>
            </w:pPr>
            <w:r>
              <w:rPr>
                <w:rFonts w:hint="eastAsia" w:ascii="宋体" w:hAnsi="宋体"/>
              </w:rPr>
              <w:t>必须提供法定代表人身份证明书及法定代表人亲笔签名的授权委托书（原件）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rPr>
            </w:pPr>
            <w:r>
              <w:rPr>
                <w:rFonts w:hint="eastAsia" w:ascii="宋体" w:hAnsi="宋体" w:cs="Arial"/>
              </w:rPr>
              <w:t>有效的营业执照、组织机构代码证、税务登记证或三证合一的营业执照</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rPr>
            </w:pPr>
            <w:r>
              <w:rPr>
                <w:rFonts w:hint="eastAsia" w:ascii="宋体" w:hAnsi="宋体" w:cs="Arial"/>
              </w:rPr>
              <w:t>有效的营业执照、组织机构代码证、税务登记证或三证合一的营业执照复印件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rPr>
            </w:pPr>
            <w:r>
              <w:rPr>
                <w:rFonts w:ascii="宋体" w:hAnsi="宋体" w:cs="Arial"/>
              </w:rPr>
              <w:t>企业资质证书</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contextualSpacing/>
              <w:rPr>
                <w:rFonts w:ascii="宋体" w:hAnsi="宋体" w:cs="Arial"/>
              </w:rPr>
            </w:pPr>
            <w:r>
              <w:rPr>
                <w:rFonts w:hint="eastAsia" w:ascii="宋体" w:hAnsi="宋体" w:cs="Arial"/>
              </w:rPr>
              <w:t>具有消防设施工程专业承包二级及以上或消防设施工程设计与施工一体化二级及以上资质（须在合同执行过程中有效）。</w:t>
            </w:r>
          </w:p>
          <w:p>
            <w:pPr>
              <w:rPr>
                <w:rFonts w:ascii="宋体" w:hAnsi="宋体" w:cs="Arial"/>
              </w:rPr>
            </w:pPr>
            <w:r>
              <w:rPr>
                <w:rFonts w:hint="eastAsia" w:ascii="宋体" w:hAnsi="宋体" w:cs="Arial"/>
              </w:rPr>
              <w:t>提供企业资质证书复印件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rPr>
            </w:pPr>
            <w:r>
              <w:rPr>
                <w:rFonts w:ascii="宋体" w:hAnsi="宋体" w:cs="Arial"/>
              </w:rPr>
              <w:t>企业安全生产许可证</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contextualSpacing/>
              <w:rPr>
                <w:rFonts w:ascii="宋体" w:hAnsi="宋体" w:cs="Arial"/>
              </w:rPr>
            </w:pPr>
            <w:r>
              <w:rPr>
                <w:rFonts w:hint="eastAsia" w:ascii="宋体" w:hAnsi="宋体" w:cs="Arial"/>
              </w:rPr>
              <w:t>企业具备安全生产条件，并取得安全生产许可证。</w:t>
            </w:r>
          </w:p>
          <w:p>
            <w:pPr>
              <w:widowControl/>
              <w:contextualSpacing/>
              <w:rPr>
                <w:rFonts w:ascii="宋体" w:hAnsi="宋体" w:cs="Arial"/>
              </w:rPr>
            </w:pPr>
            <w:r>
              <w:rPr>
                <w:rFonts w:hint="eastAsia" w:ascii="宋体" w:hAnsi="宋体" w:cs="Arial"/>
              </w:rPr>
              <w:t>提供安全生产许可证复印件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Arial"/>
              </w:rPr>
            </w:pPr>
            <w:r>
              <w:rPr>
                <w:rFonts w:hint="eastAsia" w:ascii="宋体" w:hAnsi="宋体"/>
              </w:rPr>
              <w:t>拟派现场维护人员资格</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contextualSpacing/>
              <w:rPr>
                <w:rFonts w:ascii="宋体" w:hAnsi="宋体" w:cs="Arial"/>
              </w:rPr>
            </w:pPr>
            <w:r>
              <w:rPr>
                <w:rFonts w:hint="eastAsia" w:ascii="宋体" w:hAnsi="宋体" w:cs="宋体"/>
                <w:lang w:val="zh-CN"/>
              </w:rPr>
              <w:t>拟派现场维保人员至少六人，其中至少三人持有有效的建（构）筑物消防员证书或消防设施操作员中级及以上证书、至少三人有效的建（构）筑物消防员证书或消防设施操作员初级及以上证书（在其中选一人为本项目负责人，并在投标文件中明确）。</w:t>
            </w:r>
          </w:p>
          <w:p>
            <w:pPr>
              <w:widowControl/>
              <w:contextualSpacing/>
              <w:rPr>
                <w:rFonts w:ascii="宋体" w:hAnsi="宋体" w:cs="Arial"/>
              </w:rPr>
            </w:pPr>
            <w:r>
              <w:rPr>
                <w:rFonts w:hint="eastAsia" w:ascii="宋体" w:hAnsi="宋体" w:cs="Arial"/>
              </w:rPr>
              <w:t>提供人员身份证及资格证书复印件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拟派项目组所有成员的养老保险证明</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contextualSpacing/>
              <w:rPr>
                <w:rFonts w:ascii="宋体" w:hAnsi="宋体" w:cs="Arial"/>
              </w:rPr>
            </w:pPr>
            <w:r>
              <w:rPr>
                <w:rFonts w:hint="eastAsia" w:ascii="宋体" w:hAnsi="宋体" w:cs="Arial"/>
              </w:rPr>
              <w:t>投标供应商需提供企业为拟派本项目组所有成员缴纳的2019年6月以来连续6个月的个人养老保险证明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企业财务状况</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contextualSpacing/>
              <w:rPr>
                <w:rFonts w:ascii="宋体" w:hAnsi="宋体" w:cs="Arial"/>
              </w:rPr>
            </w:pPr>
            <w:r>
              <w:rPr>
                <w:rFonts w:hint="eastAsia" w:ascii="宋体" w:hAnsi="宋体"/>
              </w:rPr>
              <w:t>提供企业2019年度财务状况报告（复印件）（成立不满一年不需提供）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依法缴纳税收和社会保障资金</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contextualSpacing/>
              <w:rPr>
                <w:rFonts w:ascii="宋体" w:hAnsi="宋体"/>
              </w:rPr>
            </w:pPr>
            <w:r>
              <w:rPr>
                <w:rFonts w:hint="eastAsia" w:ascii="宋体" w:hAnsi="宋体"/>
              </w:rPr>
              <w:t>提供依法缴纳税收和社会保障资金的相关材料（复印件）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rPr>
            </w:pPr>
            <w:r>
              <w:rPr>
                <w:rFonts w:hint="eastAsia" w:ascii="宋体" w:hAnsi="宋体"/>
              </w:rPr>
              <w:t>具备履行合同所必需的设备和专业技术能力</w:t>
            </w:r>
          </w:p>
        </w:tc>
        <w:tc>
          <w:tcPr>
            <w:tcW w:w="4820" w:type="dxa"/>
            <w:tcBorders>
              <w:top w:val="single" w:color="auto" w:sz="4" w:space="0"/>
              <w:left w:val="single" w:color="auto" w:sz="4" w:space="0"/>
              <w:bottom w:val="single" w:color="auto" w:sz="4" w:space="0"/>
              <w:right w:val="single" w:color="auto" w:sz="4" w:space="0"/>
            </w:tcBorders>
            <w:vAlign w:val="center"/>
          </w:tcPr>
          <w:p>
            <w:pPr>
              <w:widowControl/>
              <w:contextualSpacing/>
              <w:rPr>
                <w:rFonts w:ascii="宋体" w:hAnsi="宋体"/>
              </w:rPr>
            </w:pPr>
            <w:r>
              <w:rPr>
                <w:rFonts w:hint="eastAsia" w:ascii="宋体" w:hAnsi="宋体"/>
              </w:rPr>
              <w:t>提供具备履行合同所必需的设备和专业技术能力的证明材料（复印件）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709" w:type="dxa"/>
            <w:vMerge w:val="continue"/>
            <w:tcBorders>
              <w:left w:val="single" w:color="auto" w:sz="4" w:space="0"/>
              <w:right w:val="single" w:color="auto" w:sz="4" w:space="0"/>
            </w:tcBorders>
            <w:vAlign w:val="center"/>
          </w:tcPr>
          <w:p>
            <w:pPr>
              <w:spacing w:line="360" w:lineRule="exact"/>
              <w:jc w:val="center"/>
              <w:rPr>
                <w:rFonts w:ascii="宋体" w:hAnsi="宋体"/>
                <w:sz w:val="18"/>
                <w:szCs w:val="18"/>
              </w:rPr>
            </w:pPr>
          </w:p>
        </w:tc>
        <w:tc>
          <w:tcPr>
            <w:tcW w:w="992" w:type="dxa"/>
            <w:vMerge w:val="continue"/>
            <w:tcBorders>
              <w:left w:val="single" w:color="auto" w:sz="4" w:space="0"/>
              <w:right w:val="single" w:color="auto" w:sz="4" w:space="0"/>
            </w:tcBorders>
            <w:vAlign w:val="center"/>
          </w:tcPr>
          <w:p>
            <w:pPr>
              <w:spacing w:line="360" w:lineRule="exact"/>
              <w:jc w:val="center"/>
              <w:rPr>
                <w:rFonts w:ascii="宋体" w:hAnsi="宋体"/>
              </w:rPr>
            </w:pPr>
          </w:p>
        </w:tc>
        <w:tc>
          <w:tcPr>
            <w:tcW w:w="2693" w:type="dxa"/>
            <w:tcBorders>
              <w:top w:val="single" w:color="auto" w:sz="4" w:space="0"/>
              <w:left w:val="single" w:color="auto" w:sz="4" w:space="0"/>
              <w:right w:val="single" w:color="auto" w:sz="4" w:space="0"/>
            </w:tcBorders>
            <w:vAlign w:val="center"/>
          </w:tcPr>
          <w:p>
            <w:pPr>
              <w:spacing w:line="360" w:lineRule="exact"/>
              <w:rPr>
                <w:rFonts w:ascii="宋体" w:hAnsi="宋体"/>
              </w:rPr>
            </w:pPr>
            <w:r>
              <w:rPr>
                <w:rFonts w:hint="eastAsia" w:ascii="宋体" w:hAnsi="宋体"/>
              </w:rPr>
              <w:t>参加采购活动前3年内在经营活动中没有重大违法记录</w:t>
            </w:r>
          </w:p>
        </w:tc>
        <w:tc>
          <w:tcPr>
            <w:tcW w:w="4820" w:type="dxa"/>
            <w:tcBorders>
              <w:top w:val="single" w:color="auto" w:sz="4" w:space="0"/>
              <w:left w:val="single" w:color="auto" w:sz="4" w:space="0"/>
              <w:right w:val="single" w:color="auto" w:sz="4" w:space="0"/>
            </w:tcBorders>
            <w:vAlign w:val="center"/>
          </w:tcPr>
          <w:p>
            <w:pPr>
              <w:widowControl/>
              <w:contextualSpacing/>
              <w:rPr>
                <w:rFonts w:ascii="宋体" w:hAnsi="宋体"/>
              </w:rPr>
            </w:pPr>
            <w:r>
              <w:rPr>
                <w:rFonts w:hint="eastAsia" w:ascii="宋体" w:hAnsi="宋体"/>
              </w:rPr>
              <w:t>须提供参与本次项目采购活动前三年内在经营活动中没有重大违法记录的书面《无重大违法记录声明函》（原件）（须加盖公章）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9214" w:type="dxa"/>
            <w:gridSpan w:val="4"/>
            <w:tcBorders>
              <w:left w:val="single" w:color="auto" w:sz="4" w:space="0"/>
              <w:right w:val="single" w:color="auto" w:sz="4" w:space="0"/>
            </w:tcBorders>
            <w:vAlign w:val="center"/>
          </w:tcPr>
          <w:p>
            <w:pPr>
              <w:spacing w:line="360" w:lineRule="exact"/>
              <w:jc w:val="left"/>
              <w:rPr>
                <w:rFonts w:ascii="宋体" w:hAnsi="宋体" w:cs="宋体"/>
                <w:b/>
              </w:rPr>
            </w:pPr>
            <w:r>
              <w:rPr>
                <w:rFonts w:hint="eastAsia" w:ascii="宋体" w:hAnsi="宋体" w:cs="宋体"/>
                <w:b/>
              </w:rPr>
              <w:t>注：条款号2.1.2资格评审标准的资料需提供复印件并加盖单位公章，</w:t>
            </w:r>
            <w:r>
              <w:rPr>
                <w:rFonts w:hint="eastAsia" w:ascii="宋体" w:hAnsi="宋体" w:cs="Arial"/>
                <w:b/>
              </w:rPr>
              <w:t>同时提供原件，放入原件包中以供评审核验。</w:t>
            </w:r>
            <w:r>
              <w:rPr>
                <w:rFonts w:hint="eastAsia" w:ascii="宋体" w:hAnsi="宋体" w:cs="宋体"/>
                <w:b/>
              </w:rPr>
              <w:t>通过形式评审和资格审查的供应商方可进入技术标、商务标评审。</w:t>
            </w:r>
          </w:p>
        </w:tc>
      </w:tr>
    </w:tbl>
    <w:p>
      <w:pPr>
        <w:snapToGrid w:val="0"/>
        <w:spacing w:line="360" w:lineRule="auto"/>
        <w:jc w:val="center"/>
        <w:rPr>
          <w:rFonts w:ascii="宋体" w:hAnsi="宋体"/>
          <w:b/>
          <w:bCs/>
          <w:sz w:val="36"/>
          <w:szCs w:val="36"/>
        </w:rPr>
      </w:pPr>
      <w:r>
        <w:rPr>
          <w:rFonts w:ascii="宋体" w:hAnsi="宋体"/>
          <w:bCs/>
          <w:sz w:val="44"/>
        </w:rPr>
        <w:br w:type="page"/>
      </w:r>
      <w:r>
        <w:rPr>
          <w:rFonts w:hint="eastAsia" w:ascii="宋体" w:hAnsi="宋体"/>
          <w:b/>
          <w:bCs/>
          <w:sz w:val="36"/>
          <w:szCs w:val="36"/>
        </w:rPr>
        <w:t xml:space="preserve">第六章  </w:t>
      </w:r>
      <w:bookmarkEnd w:id="165"/>
      <w:r>
        <w:rPr>
          <w:rFonts w:hint="eastAsia" w:ascii="宋体" w:hAnsi="宋体"/>
          <w:b/>
          <w:bCs/>
          <w:sz w:val="36"/>
          <w:szCs w:val="36"/>
        </w:rPr>
        <w:t xml:space="preserve"> 评标办法（综合评估办法）</w:t>
      </w:r>
      <w:bookmarkStart w:id="169" w:name="_Toc12009"/>
      <w:bookmarkStart w:id="170" w:name="_Toc397928613"/>
      <w:bookmarkStart w:id="171" w:name="_Toc184635088"/>
    </w:p>
    <w:p>
      <w:pPr>
        <w:spacing w:line="440" w:lineRule="exact"/>
        <w:jc w:val="center"/>
        <w:rPr>
          <w:rFonts w:ascii="宋体" w:hAnsi="宋体" w:cs="宋体"/>
          <w:b/>
          <w:sz w:val="24"/>
          <w:szCs w:val="24"/>
        </w:rPr>
      </w:pPr>
      <w:r>
        <w:rPr>
          <w:rFonts w:hint="eastAsia" w:ascii="宋体" w:hAnsi="宋体" w:cs="宋体"/>
          <w:b/>
          <w:sz w:val="24"/>
          <w:szCs w:val="24"/>
        </w:rPr>
        <w:t>评标办法前附表</w:t>
      </w:r>
    </w:p>
    <w:tbl>
      <w:tblPr>
        <w:tblStyle w:val="46"/>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04"/>
        <w:gridCol w:w="1828"/>
        <w:gridCol w:w="277"/>
        <w:gridCol w:w="6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 w:type="dxa"/>
            <w:vAlign w:val="center"/>
          </w:tcPr>
          <w:p>
            <w:pPr>
              <w:jc w:val="center"/>
              <w:rPr>
                <w:rFonts w:cs="宋体" w:asciiTheme="majorEastAsia" w:hAnsiTheme="majorEastAsia" w:eastAsiaTheme="majorEastAsia"/>
                <w:b/>
              </w:rPr>
            </w:pPr>
            <w:r>
              <w:rPr>
                <w:rFonts w:hint="eastAsia" w:cs="宋体" w:asciiTheme="majorEastAsia" w:hAnsiTheme="majorEastAsia" w:eastAsiaTheme="majorEastAsia"/>
                <w:b/>
              </w:rPr>
              <w:t>条款号</w:t>
            </w:r>
          </w:p>
        </w:tc>
        <w:tc>
          <w:tcPr>
            <w:tcW w:w="2209" w:type="dxa"/>
            <w:gridSpan w:val="3"/>
            <w:vAlign w:val="center"/>
          </w:tcPr>
          <w:p>
            <w:pPr>
              <w:jc w:val="center"/>
              <w:rPr>
                <w:rFonts w:cs="宋体" w:asciiTheme="majorEastAsia" w:hAnsiTheme="majorEastAsia" w:eastAsiaTheme="majorEastAsia"/>
                <w:b/>
              </w:rPr>
            </w:pPr>
            <w:r>
              <w:rPr>
                <w:rFonts w:hint="eastAsia" w:cs="宋体" w:asciiTheme="majorEastAsia" w:hAnsiTheme="majorEastAsia" w:eastAsiaTheme="majorEastAsia"/>
                <w:b/>
              </w:rPr>
              <w:t>评审因素</w:t>
            </w:r>
          </w:p>
        </w:tc>
        <w:tc>
          <w:tcPr>
            <w:tcW w:w="6228" w:type="dxa"/>
            <w:vAlign w:val="center"/>
          </w:tcPr>
          <w:p>
            <w:pPr>
              <w:jc w:val="center"/>
              <w:rPr>
                <w:rFonts w:cs="宋体" w:asciiTheme="majorEastAsia" w:hAnsiTheme="majorEastAsia" w:eastAsiaTheme="majorEastAsia"/>
                <w:b/>
              </w:rPr>
            </w:pPr>
            <w:r>
              <w:rPr>
                <w:rFonts w:hint="eastAsia" w:cs="宋体" w:asciiTheme="majorEastAsia" w:hAnsiTheme="majorEastAsia" w:eastAsiaTheme="majorEastAsia"/>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5" w:type="dxa"/>
            <w:vAlign w:val="center"/>
          </w:tcPr>
          <w:p>
            <w:pPr>
              <w:jc w:val="center"/>
              <w:rPr>
                <w:rFonts w:cs="宋体" w:asciiTheme="majorEastAsia" w:hAnsiTheme="majorEastAsia" w:eastAsiaTheme="majorEastAsia"/>
                <w:b/>
              </w:rPr>
            </w:pPr>
            <w:r>
              <w:rPr>
                <w:rFonts w:hint="eastAsia" w:cs="宋体" w:asciiTheme="majorEastAsia" w:hAnsiTheme="majorEastAsia" w:eastAsiaTheme="majorEastAsia"/>
                <w:b/>
              </w:rPr>
              <w:t>2.2.1</w:t>
            </w:r>
          </w:p>
        </w:tc>
        <w:tc>
          <w:tcPr>
            <w:tcW w:w="2209" w:type="dxa"/>
            <w:gridSpan w:val="3"/>
            <w:vAlign w:val="center"/>
          </w:tcPr>
          <w:p>
            <w:pPr>
              <w:ind w:firstLine="11" w:firstLineChars="5"/>
              <w:jc w:val="center"/>
              <w:rPr>
                <w:rFonts w:cs="宋体" w:asciiTheme="majorEastAsia" w:hAnsiTheme="majorEastAsia" w:eastAsiaTheme="majorEastAsia"/>
                <w:b/>
              </w:rPr>
            </w:pPr>
            <w:r>
              <w:rPr>
                <w:rFonts w:hint="eastAsia" w:cs="宋体" w:asciiTheme="majorEastAsia" w:hAnsiTheme="majorEastAsia" w:eastAsiaTheme="majorEastAsia"/>
                <w:b/>
              </w:rPr>
              <w:t>分值构成（100分）</w:t>
            </w:r>
          </w:p>
        </w:tc>
        <w:tc>
          <w:tcPr>
            <w:tcW w:w="6228" w:type="dxa"/>
            <w:vAlign w:val="center"/>
          </w:tcPr>
          <w:p>
            <w:pPr>
              <w:ind w:firstLine="422" w:firstLineChars="200"/>
              <w:jc w:val="center"/>
              <w:rPr>
                <w:rFonts w:cs="宋体" w:asciiTheme="majorEastAsia" w:hAnsiTheme="majorEastAsia" w:eastAsiaTheme="majorEastAsia"/>
                <w:b/>
              </w:rPr>
            </w:pPr>
            <w:r>
              <w:rPr>
                <w:rFonts w:hint="eastAsia" w:cs="宋体" w:asciiTheme="majorEastAsia" w:hAnsiTheme="majorEastAsia" w:eastAsiaTheme="majorEastAsia"/>
                <w:b/>
              </w:rPr>
              <w:t>技术商务：50分，报价：50分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292" w:type="dxa"/>
            <w:gridSpan w:val="5"/>
          </w:tcPr>
          <w:p>
            <w:pPr>
              <w:spacing w:line="340" w:lineRule="exact"/>
              <w:jc w:val="left"/>
              <w:rPr>
                <w:rFonts w:cs="宋体" w:asciiTheme="majorEastAsia" w:hAnsiTheme="majorEastAsia" w:eastAsiaTheme="majorEastAsia"/>
                <w:b/>
              </w:rPr>
            </w:pPr>
            <w:r>
              <w:rPr>
                <w:rFonts w:hint="eastAsia" w:cs="宋体" w:asciiTheme="majorEastAsia" w:hAnsiTheme="majorEastAsia" w:eastAsiaTheme="majorEastAsia"/>
                <w:b/>
              </w:rPr>
              <w:t>当</w:t>
            </w:r>
            <w:r>
              <w:rPr>
                <w:rFonts w:hint="eastAsia" w:cs="宋体" w:asciiTheme="majorEastAsia" w:hAnsiTheme="majorEastAsia" w:eastAsiaTheme="majorEastAsia"/>
                <w:b/>
                <w:kern w:val="0"/>
              </w:rPr>
              <w:t>技术标评委多于5人（含5人）时，供应商的技术得分为各评委技术分中分别去掉一个最高分和一个最低分后之和的算术平均值。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tcPr>
          <w:p>
            <w:pPr>
              <w:spacing w:line="440" w:lineRule="exact"/>
              <w:jc w:val="center"/>
              <w:rPr>
                <w:rFonts w:cs="宋体" w:asciiTheme="majorEastAsia" w:hAnsiTheme="majorEastAsia" w:eastAsiaTheme="majorEastAsia"/>
                <w:b/>
              </w:rPr>
            </w:pPr>
          </w:p>
        </w:tc>
        <w:tc>
          <w:tcPr>
            <w:tcW w:w="1828" w:type="dxa"/>
          </w:tcPr>
          <w:p>
            <w:pPr>
              <w:autoSpaceDE w:val="0"/>
              <w:autoSpaceDN w:val="0"/>
              <w:adjustRightInd w:val="0"/>
              <w:snapToGrid w:val="0"/>
              <w:spacing w:line="360" w:lineRule="exact"/>
              <w:ind w:left="76" w:leftChars="36"/>
              <w:rPr>
                <w:rFonts w:cs="宋体" w:asciiTheme="majorEastAsia" w:hAnsiTheme="majorEastAsia" w:eastAsiaTheme="majorEastAsia"/>
                <w:b/>
              </w:rPr>
            </w:pPr>
            <w:r>
              <w:rPr>
                <w:rFonts w:hint="eastAsia" w:cs="宋体" w:asciiTheme="majorEastAsia" w:hAnsiTheme="majorEastAsia" w:eastAsiaTheme="majorEastAsia"/>
                <w:b/>
                <w:kern w:val="0"/>
              </w:rPr>
              <w:t>评分因素（分值）</w:t>
            </w:r>
          </w:p>
        </w:tc>
        <w:tc>
          <w:tcPr>
            <w:tcW w:w="6505" w:type="dxa"/>
            <w:gridSpan w:val="2"/>
          </w:tcPr>
          <w:p>
            <w:pPr>
              <w:autoSpaceDE w:val="0"/>
              <w:autoSpaceDN w:val="0"/>
              <w:adjustRightInd w:val="0"/>
              <w:snapToGrid w:val="0"/>
              <w:spacing w:line="360" w:lineRule="exact"/>
              <w:ind w:firstLine="2951" w:firstLineChars="1400"/>
              <w:rPr>
                <w:rFonts w:cs="宋体" w:asciiTheme="majorEastAsia" w:hAnsiTheme="majorEastAsia" w:eastAsiaTheme="majorEastAsia"/>
                <w:b/>
              </w:rPr>
            </w:pPr>
            <w:r>
              <w:rPr>
                <w:rFonts w:hint="eastAsia" w:cs="宋体" w:asciiTheme="majorEastAsia" w:hAnsiTheme="majorEastAsia" w:eastAsiaTheme="majorEastAsia"/>
                <w:b/>
                <w:kern w:val="0"/>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959" w:type="dxa"/>
            <w:gridSpan w:val="2"/>
            <w:vMerge w:val="restart"/>
            <w:vAlign w:val="center"/>
          </w:tcPr>
          <w:p>
            <w:pPr>
              <w:spacing w:line="360" w:lineRule="exact"/>
              <w:jc w:val="center"/>
              <w:rPr>
                <w:rFonts w:cs="宋体" w:asciiTheme="majorEastAsia" w:hAnsiTheme="majorEastAsia" w:eastAsiaTheme="majorEastAsia"/>
              </w:rPr>
            </w:pPr>
            <w:r>
              <w:rPr>
                <w:rFonts w:hint="eastAsia" w:cs="宋体" w:asciiTheme="majorEastAsia" w:hAnsiTheme="majorEastAsia" w:eastAsiaTheme="majorEastAsia"/>
              </w:rPr>
              <w:t>2.2.2</w:t>
            </w:r>
          </w:p>
          <w:p>
            <w:pPr>
              <w:spacing w:line="360" w:lineRule="exact"/>
              <w:jc w:val="center"/>
              <w:rPr>
                <w:rFonts w:cs="宋体" w:asciiTheme="majorEastAsia" w:hAnsiTheme="majorEastAsia" w:eastAsiaTheme="majorEastAsia"/>
              </w:rPr>
            </w:pPr>
            <w:r>
              <w:rPr>
                <w:rFonts w:hint="eastAsia" w:cs="宋体" w:asciiTheme="majorEastAsia" w:hAnsiTheme="majorEastAsia" w:eastAsiaTheme="majorEastAsia"/>
              </w:rPr>
              <w:t>技术标</w:t>
            </w:r>
          </w:p>
          <w:p>
            <w:pPr>
              <w:spacing w:line="440" w:lineRule="exact"/>
              <w:jc w:val="center"/>
              <w:rPr>
                <w:rFonts w:cs="宋体" w:asciiTheme="majorEastAsia" w:hAnsiTheme="majorEastAsia" w:eastAsiaTheme="majorEastAsia"/>
              </w:rPr>
            </w:pPr>
            <w:r>
              <w:rPr>
                <w:rFonts w:hint="eastAsia" w:cs="宋体" w:asciiTheme="majorEastAsia" w:hAnsiTheme="majorEastAsia" w:eastAsiaTheme="majorEastAsia"/>
              </w:rPr>
              <w:t>（50分）</w:t>
            </w:r>
          </w:p>
        </w:tc>
        <w:tc>
          <w:tcPr>
            <w:tcW w:w="1828" w:type="dxa"/>
            <w:vAlign w:val="center"/>
          </w:tcPr>
          <w:p>
            <w:pPr>
              <w:widowControl/>
              <w:adjustRightInd w:val="0"/>
              <w:spacing w:line="320" w:lineRule="atLeast"/>
              <w:jc w:val="center"/>
              <w:rPr>
                <w:rFonts w:cs="宋体" w:asciiTheme="majorEastAsia" w:hAnsiTheme="majorEastAsia" w:eastAsiaTheme="majorEastAsia"/>
                <w:kern w:val="0"/>
              </w:rPr>
            </w:pPr>
            <w:r>
              <w:rPr>
                <w:rFonts w:hint="eastAsia" w:cs="宋体" w:asciiTheme="majorEastAsia" w:hAnsiTheme="majorEastAsia" w:eastAsiaTheme="majorEastAsia"/>
                <w:kern w:val="0"/>
              </w:rPr>
              <w:t>技术人员</w:t>
            </w:r>
          </w:p>
          <w:p>
            <w:pPr>
              <w:adjustRightInd w:val="0"/>
              <w:spacing w:line="320" w:lineRule="atLeast"/>
              <w:jc w:val="center"/>
              <w:rPr>
                <w:rFonts w:cs="宋体" w:asciiTheme="majorEastAsia" w:hAnsiTheme="majorEastAsia" w:eastAsiaTheme="majorEastAsia"/>
              </w:rPr>
            </w:pPr>
            <w:r>
              <w:rPr>
                <w:rFonts w:hint="eastAsia" w:cs="宋体" w:asciiTheme="majorEastAsia" w:hAnsiTheme="majorEastAsia" w:eastAsiaTheme="majorEastAsia"/>
                <w:kern w:val="0"/>
              </w:rPr>
              <w:t>（4分）</w:t>
            </w:r>
          </w:p>
        </w:tc>
        <w:tc>
          <w:tcPr>
            <w:tcW w:w="6505" w:type="dxa"/>
            <w:gridSpan w:val="2"/>
            <w:vAlign w:val="center"/>
          </w:tcPr>
          <w:p>
            <w:pPr>
              <w:adjustRightInd w:val="0"/>
              <w:spacing w:line="320" w:lineRule="atLeast"/>
              <w:ind w:firstLine="210" w:firstLineChars="100"/>
              <w:jc w:val="left"/>
              <w:rPr>
                <w:rFonts w:cs="宋体" w:asciiTheme="majorEastAsia" w:hAnsiTheme="majorEastAsia" w:eastAsiaTheme="majorEastAsia"/>
                <w:kern w:val="0"/>
              </w:rPr>
            </w:pPr>
            <w:r>
              <w:rPr>
                <w:rFonts w:hint="eastAsia" w:cs="宋体" w:asciiTheme="majorEastAsia" w:hAnsiTheme="majorEastAsia" w:eastAsiaTheme="majorEastAsia"/>
                <w:kern w:val="0"/>
              </w:rPr>
              <w:t>拟派本项目消防技术人员具有消防相关专业高级职称的，得2分，中级职称的，得1分，本项最高得4分。</w:t>
            </w:r>
          </w:p>
          <w:p>
            <w:pPr>
              <w:adjustRightInd w:val="0"/>
              <w:spacing w:line="320" w:lineRule="atLeast"/>
              <w:ind w:firstLine="210" w:firstLineChars="100"/>
              <w:jc w:val="left"/>
              <w:rPr>
                <w:rFonts w:cs="宋体" w:asciiTheme="majorEastAsia" w:hAnsiTheme="majorEastAsia" w:eastAsiaTheme="majorEastAsia"/>
                <w:kern w:val="0"/>
              </w:rPr>
            </w:pPr>
            <w:r>
              <w:rPr>
                <w:rFonts w:hint="eastAsia" w:asciiTheme="majorEastAsia" w:hAnsiTheme="majorEastAsia" w:eastAsiaTheme="majorEastAsia"/>
              </w:rPr>
              <w:t>（须出具证书复印件及供应商为上述人员缴纳的最近一年（至少缴纳至2019年12月）的社保缴费证明复印件）。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59" w:type="dxa"/>
            <w:gridSpan w:val="2"/>
            <w:vMerge w:val="continue"/>
          </w:tcPr>
          <w:p>
            <w:pPr>
              <w:spacing w:line="440" w:lineRule="exact"/>
              <w:jc w:val="center"/>
              <w:rPr>
                <w:rFonts w:cs="宋体" w:asciiTheme="majorEastAsia" w:hAnsiTheme="majorEastAsia" w:eastAsiaTheme="majorEastAsia"/>
              </w:rPr>
            </w:pPr>
          </w:p>
        </w:tc>
        <w:tc>
          <w:tcPr>
            <w:tcW w:w="1828" w:type="dxa"/>
            <w:vAlign w:val="center"/>
          </w:tcPr>
          <w:p>
            <w:pPr>
              <w:widowControl/>
              <w:adjustRightInd w:val="0"/>
              <w:spacing w:line="320" w:lineRule="atLeast"/>
              <w:jc w:val="center"/>
              <w:rPr>
                <w:rFonts w:cs="宋体" w:asciiTheme="majorEastAsia" w:hAnsiTheme="majorEastAsia" w:eastAsiaTheme="majorEastAsia"/>
                <w:kern w:val="0"/>
              </w:rPr>
            </w:pPr>
            <w:r>
              <w:rPr>
                <w:rFonts w:hint="eastAsia" w:cs="宋体" w:asciiTheme="majorEastAsia" w:hAnsiTheme="majorEastAsia" w:eastAsiaTheme="majorEastAsia"/>
                <w:kern w:val="0"/>
              </w:rPr>
              <w:t>类似业绩（15分）</w:t>
            </w:r>
          </w:p>
        </w:tc>
        <w:tc>
          <w:tcPr>
            <w:tcW w:w="6505" w:type="dxa"/>
            <w:gridSpan w:val="2"/>
            <w:vAlign w:val="center"/>
          </w:tcPr>
          <w:p>
            <w:pPr>
              <w:spacing w:line="320" w:lineRule="exact"/>
              <w:ind w:firstLine="420" w:firstLineChars="200"/>
              <w:jc w:val="left"/>
              <w:rPr>
                <w:rFonts w:cs="宋体" w:asciiTheme="majorEastAsia" w:hAnsiTheme="majorEastAsia" w:eastAsiaTheme="majorEastAsia"/>
                <w:kern w:val="0"/>
              </w:rPr>
            </w:pPr>
            <w:r>
              <w:rPr>
                <w:rFonts w:cs="宋体" w:asciiTheme="majorEastAsia" w:hAnsiTheme="majorEastAsia" w:eastAsiaTheme="majorEastAsia"/>
                <w:kern w:val="0"/>
              </w:rPr>
              <w:fldChar w:fldCharType="begin"/>
            </w:r>
            <w:r>
              <w:rPr>
                <w:rFonts w:cs="宋体" w:asciiTheme="majorEastAsia" w:hAnsiTheme="majorEastAsia" w:eastAsiaTheme="majorEastAsia"/>
                <w:kern w:val="0"/>
              </w:rPr>
              <w:instrText xml:space="preserve"> </w:instrText>
            </w:r>
            <w:r>
              <w:rPr>
                <w:rFonts w:hint="eastAsia" w:cs="宋体" w:asciiTheme="majorEastAsia" w:hAnsiTheme="majorEastAsia" w:eastAsiaTheme="majorEastAsia"/>
                <w:kern w:val="0"/>
              </w:rPr>
              <w:instrText xml:space="preserve">= 1 \* GB3</w:instrText>
            </w:r>
            <w:r>
              <w:rPr>
                <w:rFonts w:cs="宋体" w:asciiTheme="majorEastAsia" w:hAnsiTheme="majorEastAsia" w:eastAsiaTheme="majorEastAsia"/>
                <w:kern w:val="0"/>
              </w:rPr>
              <w:instrText xml:space="preserve"> </w:instrText>
            </w:r>
            <w:r>
              <w:rPr>
                <w:rFonts w:cs="宋体" w:asciiTheme="majorEastAsia" w:hAnsiTheme="majorEastAsia" w:eastAsiaTheme="majorEastAsia"/>
                <w:kern w:val="0"/>
              </w:rPr>
              <w:fldChar w:fldCharType="separate"/>
            </w:r>
            <w:r>
              <w:rPr>
                <w:rFonts w:hint="eastAsia" w:cs="宋体" w:asciiTheme="majorEastAsia" w:hAnsiTheme="majorEastAsia" w:eastAsiaTheme="majorEastAsia"/>
                <w:kern w:val="0"/>
              </w:rPr>
              <w:t>①</w:t>
            </w:r>
            <w:r>
              <w:rPr>
                <w:rFonts w:cs="宋体" w:asciiTheme="majorEastAsia" w:hAnsiTheme="majorEastAsia" w:eastAsiaTheme="majorEastAsia"/>
                <w:kern w:val="0"/>
              </w:rPr>
              <w:fldChar w:fldCharType="end"/>
            </w:r>
            <w:r>
              <w:rPr>
                <w:rFonts w:hint="eastAsia" w:cs="宋体" w:asciiTheme="majorEastAsia" w:hAnsiTheme="majorEastAsia" w:eastAsiaTheme="majorEastAsia"/>
                <w:kern w:val="0"/>
              </w:rPr>
              <w:t>供应商近三年（自2017年）以来从事过消防维保项目，合同金额在10万元（不含）以内的，有一个项目得1分，最多得3分；</w:t>
            </w:r>
          </w:p>
          <w:p>
            <w:pPr>
              <w:pStyle w:val="2"/>
              <w:spacing w:line="320" w:lineRule="exact"/>
              <w:rPr>
                <w:rFonts w:cs="宋体" w:asciiTheme="majorEastAsia" w:hAnsiTheme="majorEastAsia" w:eastAsiaTheme="majorEastAsia"/>
                <w:kern w:val="0"/>
              </w:rPr>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cs="宋体" w:asciiTheme="majorEastAsia" w:hAnsiTheme="majorEastAsia" w:eastAsiaTheme="majorEastAsia"/>
                <w:kern w:val="0"/>
              </w:rPr>
              <w:t>供应商近三年（自2017年）以来从事过消防维保项目，合同金额在10万元（含）-20万元（含）的，有一个项目得2分，最多得6分；</w:t>
            </w:r>
          </w:p>
          <w:p>
            <w:pPr>
              <w:pStyle w:val="2"/>
              <w:spacing w:line="320" w:lineRule="exact"/>
              <w:rPr>
                <w:rFonts w:cs="宋体" w:asciiTheme="majorEastAsia" w:hAnsiTheme="majorEastAsia" w:eastAsiaTheme="majorEastAsia"/>
                <w:kern w:val="0"/>
              </w:rPr>
            </w:pPr>
            <w:r>
              <w:rPr>
                <w:rFonts w:cs="宋体" w:asciiTheme="majorEastAsia" w:hAnsiTheme="majorEastAsia" w:eastAsiaTheme="majorEastAsia"/>
                <w:kern w:val="0"/>
              </w:rPr>
              <w:fldChar w:fldCharType="begin"/>
            </w:r>
            <w:r>
              <w:rPr>
                <w:rFonts w:cs="宋体" w:asciiTheme="majorEastAsia" w:hAnsiTheme="majorEastAsia" w:eastAsiaTheme="majorEastAsia"/>
                <w:kern w:val="0"/>
              </w:rPr>
              <w:instrText xml:space="preserve"> </w:instrText>
            </w:r>
            <w:r>
              <w:rPr>
                <w:rFonts w:hint="eastAsia" w:cs="宋体" w:asciiTheme="majorEastAsia" w:hAnsiTheme="majorEastAsia" w:eastAsiaTheme="majorEastAsia"/>
                <w:kern w:val="0"/>
              </w:rPr>
              <w:instrText xml:space="preserve">= 3 \* GB3</w:instrText>
            </w:r>
            <w:r>
              <w:rPr>
                <w:rFonts w:cs="宋体" w:asciiTheme="majorEastAsia" w:hAnsiTheme="majorEastAsia" w:eastAsiaTheme="majorEastAsia"/>
                <w:kern w:val="0"/>
              </w:rPr>
              <w:instrText xml:space="preserve"> </w:instrText>
            </w:r>
            <w:r>
              <w:rPr>
                <w:rFonts w:cs="宋体" w:asciiTheme="majorEastAsia" w:hAnsiTheme="majorEastAsia" w:eastAsiaTheme="majorEastAsia"/>
                <w:kern w:val="0"/>
              </w:rPr>
              <w:fldChar w:fldCharType="separate"/>
            </w:r>
            <w:r>
              <w:rPr>
                <w:rFonts w:hint="eastAsia" w:cs="宋体" w:asciiTheme="majorEastAsia" w:hAnsiTheme="majorEastAsia" w:eastAsiaTheme="majorEastAsia"/>
                <w:kern w:val="0"/>
              </w:rPr>
              <w:t>③</w:t>
            </w:r>
            <w:r>
              <w:rPr>
                <w:rFonts w:cs="宋体" w:asciiTheme="majorEastAsia" w:hAnsiTheme="majorEastAsia" w:eastAsiaTheme="majorEastAsia"/>
                <w:kern w:val="0"/>
              </w:rPr>
              <w:fldChar w:fldCharType="end"/>
            </w:r>
            <w:r>
              <w:rPr>
                <w:rFonts w:hint="eastAsia" w:cs="宋体" w:asciiTheme="majorEastAsia" w:hAnsiTheme="majorEastAsia" w:eastAsiaTheme="majorEastAsia"/>
                <w:kern w:val="0"/>
              </w:rPr>
              <w:t>供应商近三年（自2017年）以来从事过消防维保项目，合同金额在20万元（不含）以上的，有一个项目得3分，最多得9分；</w:t>
            </w:r>
          </w:p>
          <w:p>
            <w:pPr>
              <w:pStyle w:val="2"/>
              <w:spacing w:line="320" w:lineRule="exact"/>
            </w:pPr>
            <w:r>
              <w:rPr>
                <w:rFonts w:hint="eastAsia" w:cs="宋体" w:asciiTheme="majorEastAsia" w:hAnsiTheme="majorEastAsia" w:eastAsiaTheme="majorEastAsia"/>
                <w:kern w:val="0"/>
              </w:rPr>
              <w:t>备注：本项类似业绩得分最多得15分，同一业绩不重复得分，必须提供合同复印件。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59" w:type="dxa"/>
            <w:gridSpan w:val="2"/>
            <w:vMerge w:val="continue"/>
          </w:tcPr>
          <w:p>
            <w:pPr>
              <w:spacing w:line="440" w:lineRule="exact"/>
              <w:jc w:val="center"/>
              <w:rPr>
                <w:rFonts w:cs="宋体" w:asciiTheme="majorEastAsia" w:hAnsiTheme="majorEastAsia" w:eastAsiaTheme="majorEastAsia"/>
              </w:rPr>
            </w:pPr>
          </w:p>
        </w:tc>
        <w:tc>
          <w:tcPr>
            <w:tcW w:w="1828" w:type="dxa"/>
            <w:vAlign w:val="center"/>
          </w:tcPr>
          <w:p>
            <w:pPr>
              <w:widowControl/>
              <w:adjustRightInd w:val="0"/>
              <w:spacing w:line="240" w:lineRule="exact"/>
              <w:jc w:val="center"/>
              <w:rPr>
                <w:rFonts w:cs="宋体" w:asciiTheme="majorEastAsia" w:hAnsiTheme="majorEastAsia" w:eastAsiaTheme="majorEastAsia"/>
                <w:kern w:val="0"/>
              </w:rPr>
            </w:pPr>
            <w:r>
              <w:rPr>
                <w:rFonts w:hint="eastAsia" w:cs="宋体" w:asciiTheme="majorEastAsia" w:hAnsiTheme="majorEastAsia" w:eastAsiaTheme="majorEastAsia"/>
                <w:kern w:val="0"/>
              </w:rPr>
              <w:t>消防维保服务</w:t>
            </w:r>
          </w:p>
          <w:p>
            <w:pPr>
              <w:widowControl/>
              <w:adjustRightInd w:val="0"/>
              <w:spacing w:line="240" w:lineRule="exact"/>
              <w:jc w:val="center"/>
              <w:rPr>
                <w:rFonts w:cs="宋体" w:asciiTheme="majorEastAsia" w:hAnsiTheme="majorEastAsia" w:eastAsiaTheme="majorEastAsia"/>
                <w:kern w:val="0"/>
              </w:rPr>
            </w:pPr>
            <w:r>
              <w:rPr>
                <w:rFonts w:hint="eastAsia" w:cs="宋体" w:asciiTheme="majorEastAsia" w:hAnsiTheme="majorEastAsia" w:eastAsiaTheme="majorEastAsia"/>
                <w:kern w:val="0"/>
              </w:rPr>
              <w:t>方案（6分）</w:t>
            </w:r>
          </w:p>
        </w:tc>
        <w:tc>
          <w:tcPr>
            <w:tcW w:w="6505" w:type="dxa"/>
            <w:gridSpan w:val="2"/>
            <w:vAlign w:val="center"/>
          </w:tcPr>
          <w:p>
            <w:pPr>
              <w:adjustRightInd w:val="0"/>
              <w:spacing w:line="320" w:lineRule="exact"/>
              <w:ind w:firstLine="315" w:firstLineChars="150"/>
              <w:jc w:val="left"/>
              <w:rPr>
                <w:rFonts w:cs="宋体" w:asciiTheme="majorEastAsia" w:hAnsiTheme="majorEastAsia" w:eastAsiaTheme="majorEastAsia"/>
                <w:kern w:val="0"/>
              </w:rPr>
            </w:pPr>
            <w:r>
              <w:rPr>
                <w:rFonts w:hint="eastAsia" w:asciiTheme="majorEastAsia" w:hAnsiTheme="majorEastAsia" w:eastAsiaTheme="majorEastAsia"/>
              </w:rPr>
              <w:t>根据服务整体方案合理、全面、适用性，从项目服务响应程度、项目服务实施方案、物资装备配套情况、备品备件库、可操作性等方面打分：</w:t>
            </w:r>
          </w:p>
          <w:p>
            <w:pPr>
              <w:adjustRightInd w:val="0"/>
              <w:spacing w:line="320" w:lineRule="exact"/>
              <w:jc w:val="left"/>
              <w:rPr>
                <w:rFonts w:asciiTheme="majorEastAsia" w:hAnsiTheme="majorEastAsia" w:eastAsiaTheme="majorEastAsia"/>
              </w:rPr>
            </w:pPr>
            <w:r>
              <w:rPr>
                <w:rFonts w:asciiTheme="majorEastAsia" w:hAnsiTheme="majorEastAsia" w:eastAsiaTheme="majorEastAsia"/>
              </w:rPr>
              <w:t>①</w:t>
            </w:r>
            <w:r>
              <w:rPr>
                <w:rFonts w:hint="eastAsia" w:asciiTheme="majorEastAsia" w:hAnsiTheme="majorEastAsia" w:eastAsiaTheme="majorEastAsia"/>
              </w:rPr>
              <w:t>项目服务响应程度：优：2分；良：1分；其他不得分；</w:t>
            </w:r>
          </w:p>
          <w:p>
            <w:pPr>
              <w:adjustRightInd w:val="0"/>
              <w:spacing w:line="320" w:lineRule="exact"/>
              <w:jc w:val="left"/>
              <w:rPr>
                <w:rFonts w:asciiTheme="majorEastAsia" w:hAnsiTheme="majorEastAsia" w:eastAsiaTheme="majorEastAsia"/>
              </w:rPr>
            </w:pPr>
            <w:r>
              <w:rPr>
                <w:rFonts w:hint="eastAsia" w:asciiTheme="majorEastAsia" w:hAnsiTheme="majorEastAsia" w:eastAsiaTheme="majorEastAsia"/>
              </w:rPr>
              <w:t>②物资装备配套情况、备品备件库，优：2分；良：1分；其他不得分；</w:t>
            </w:r>
          </w:p>
          <w:p>
            <w:pPr>
              <w:adjustRightInd w:val="0"/>
              <w:spacing w:line="320" w:lineRule="exact"/>
              <w:jc w:val="left"/>
              <w:rPr>
                <w:rFonts w:asciiTheme="majorEastAsia" w:hAnsiTheme="majorEastAsia" w:eastAsiaTheme="majorEastAsia"/>
              </w:rPr>
            </w:pPr>
            <w:r>
              <w:rPr>
                <w:rFonts w:hint="eastAsia" w:asciiTheme="majorEastAsia" w:hAnsiTheme="majorEastAsia" w:eastAsiaTheme="majorEastAsia"/>
              </w:rPr>
              <w:t>③对</w:t>
            </w:r>
            <w:r>
              <w:rPr>
                <w:rFonts w:asciiTheme="majorEastAsia" w:hAnsiTheme="majorEastAsia" w:eastAsiaTheme="majorEastAsia"/>
              </w:rPr>
              <w:t>突发性事件</w:t>
            </w:r>
            <w:r>
              <w:rPr>
                <w:rFonts w:hint="eastAsia" w:asciiTheme="majorEastAsia" w:hAnsiTheme="majorEastAsia" w:eastAsiaTheme="majorEastAsia"/>
              </w:rPr>
              <w:t>的</w:t>
            </w:r>
            <w:r>
              <w:rPr>
                <w:rFonts w:asciiTheme="majorEastAsia" w:hAnsiTheme="majorEastAsia" w:eastAsiaTheme="majorEastAsia"/>
              </w:rPr>
              <w:t>应急措施合理可行</w:t>
            </w:r>
            <w:r>
              <w:rPr>
                <w:rFonts w:hint="eastAsia" w:asciiTheme="majorEastAsia" w:hAnsiTheme="majorEastAsia" w:eastAsiaTheme="majorEastAsia"/>
              </w:rPr>
              <w:t>，优：2分；良：1分；其他不得分。</w:t>
            </w:r>
            <w:r>
              <w:rPr>
                <w:rFonts w:asciiTheme="majorEastAsia" w:hAnsiTheme="majorEastAsia" w:eastAsiaTheme="maj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continue"/>
          </w:tcPr>
          <w:p>
            <w:pPr>
              <w:spacing w:line="440" w:lineRule="exact"/>
              <w:jc w:val="center"/>
              <w:rPr>
                <w:rFonts w:cs="宋体" w:asciiTheme="majorEastAsia" w:hAnsiTheme="majorEastAsia" w:eastAsiaTheme="majorEastAsia"/>
              </w:rPr>
            </w:pPr>
          </w:p>
        </w:tc>
        <w:tc>
          <w:tcPr>
            <w:tcW w:w="1828" w:type="dxa"/>
            <w:vAlign w:val="center"/>
          </w:tcPr>
          <w:p>
            <w:pPr>
              <w:widowControl/>
              <w:adjustRightInd w:val="0"/>
              <w:spacing w:line="320" w:lineRule="exact"/>
              <w:jc w:val="center"/>
              <w:rPr>
                <w:rFonts w:cs="宋体" w:asciiTheme="majorEastAsia" w:hAnsiTheme="majorEastAsia" w:eastAsiaTheme="majorEastAsia"/>
                <w:kern w:val="0"/>
              </w:rPr>
            </w:pPr>
            <w:r>
              <w:rPr>
                <w:rFonts w:hint="eastAsia" w:cs="宋体" w:asciiTheme="majorEastAsia" w:hAnsiTheme="majorEastAsia" w:eastAsiaTheme="majorEastAsia"/>
                <w:kern w:val="0"/>
              </w:rPr>
              <w:t>技术支持与</w:t>
            </w:r>
          </w:p>
          <w:p>
            <w:pPr>
              <w:adjustRightInd w:val="0"/>
              <w:spacing w:line="320" w:lineRule="exact"/>
              <w:jc w:val="center"/>
              <w:rPr>
                <w:rFonts w:cs="宋体" w:asciiTheme="majorEastAsia" w:hAnsiTheme="majorEastAsia" w:eastAsiaTheme="majorEastAsia"/>
                <w:kern w:val="0"/>
              </w:rPr>
            </w:pPr>
            <w:r>
              <w:rPr>
                <w:rFonts w:hint="eastAsia" w:cs="宋体" w:asciiTheme="majorEastAsia" w:hAnsiTheme="majorEastAsia" w:eastAsiaTheme="majorEastAsia"/>
                <w:kern w:val="0"/>
              </w:rPr>
              <w:t>培训（5分）</w:t>
            </w:r>
          </w:p>
        </w:tc>
        <w:tc>
          <w:tcPr>
            <w:tcW w:w="6505" w:type="dxa"/>
            <w:gridSpan w:val="2"/>
            <w:vAlign w:val="center"/>
          </w:tcPr>
          <w:p>
            <w:pPr>
              <w:adjustRightInd w:val="0"/>
              <w:spacing w:line="320" w:lineRule="exact"/>
              <w:jc w:val="left"/>
              <w:rPr>
                <w:rFonts w:asciiTheme="majorEastAsia" w:hAnsiTheme="majorEastAsia" w:eastAsiaTheme="majorEastAsia"/>
              </w:rPr>
            </w:pPr>
            <w:r>
              <w:rPr>
                <w:rFonts w:asciiTheme="majorEastAsia" w:hAnsiTheme="majorEastAsia" w:eastAsiaTheme="majorEastAsia"/>
              </w:rPr>
              <w:fldChar w:fldCharType="begin"/>
            </w:r>
            <w:r>
              <w:rPr>
                <w:rFonts w:asciiTheme="majorEastAsia" w:hAnsiTheme="majorEastAsia" w:eastAsiaTheme="majorEastAsia"/>
              </w:rPr>
              <w:instrText xml:space="preserve"> </w:instrText>
            </w:r>
            <w:r>
              <w:rPr>
                <w:rFonts w:hint="eastAsia" w:asciiTheme="majorEastAsia" w:hAnsiTheme="majorEastAsia" w:eastAsiaTheme="majorEastAsia"/>
              </w:rPr>
              <w:instrText xml:space="preserve">= 1 \* GB3</w:instrText>
            </w:r>
            <w:r>
              <w:rPr>
                <w:rFonts w:asciiTheme="majorEastAsia" w:hAnsiTheme="majorEastAsia" w:eastAsiaTheme="majorEastAsia"/>
              </w:rPr>
              <w:instrText xml:space="preserve"> </w:instrText>
            </w:r>
            <w:r>
              <w:rPr>
                <w:rFonts w:asciiTheme="majorEastAsia" w:hAnsiTheme="majorEastAsia" w:eastAsiaTheme="majorEastAsia"/>
              </w:rPr>
              <w:fldChar w:fldCharType="separate"/>
            </w:r>
            <w:r>
              <w:rPr>
                <w:rFonts w:hint="eastAsia" w:asciiTheme="majorEastAsia" w:hAnsiTheme="majorEastAsia" w:eastAsiaTheme="majorEastAsia"/>
              </w:rPr>
              <w:t>①</w:t>
            </w:r>
            <w:r>
              <w:rPr>
                <w:rFonts w:asciiTheme="majorEastAsia" w:hAnsiTheme="majorEastAsia" w:eastAsiaTheme="majorEastAsia"/>
              </w:rPr>
              <w:fldChar w:fldCharType="end"/>
            </w:r>
            <w:r>
              <w:rPr>
                <w:rFonts w:hint="eastAsia" w:asciiTheme="majorEastAsia" w:hAnsiTheme="majorEastAsia" w:eastAsiaTheme="majorEastAsia"/>
              </w:rPr>
              <w:t>本地企业或在通有分支机构（含常驻维修服务站）得2分，提供相关证明材料复印件。</w:t>
            </w:r>
          </w:p>
          <w:p>
            <w:pPr>
              <w:adjustRightInd w:val="0"/>
              <w:spacing w:line="320" w:lineRule="exact"/>
              <w:jc w:val="left"/>
              <w:rPr>
                <w:rFonts w:asciiTheme="majorEastAsia" w:hAnsiTheme="majorEastAsia" w:eastAsiaTheme="majorEastAsia"/>
              </w:rPr>
            </w:pPr>
            <w:r>
              <w:rPr>
                <w:rFonts w:asciiTheme="majorEastAsia" w:hAnsiTheme="majorEastAsia" w:eastAsiaTheme="majorEastAsia"/>
              </w:rPr>
              <w:fldChar w:fldCharType="begin"/>
            </w:r>
            <w:r>
              <w:rPr>
                <w:rFonts w:asciiTheme="majorEastAsia" w:hAnsiTheme="majorEastAsia" w:eastAsiaTheme="majorEastAsia"/>
              </w:rPr>
              <w:instrText xml:space="preserve"> </w:instrText>
            </w:r>
            <w:r>
              <w:rPr>
                <w:rFonts w:hint="eastAsia" w:asciiTheme="majorEastAsia" w:hAnsiTheme="majorEastAsia" w:eastAsiaTheme="majorEastAsia"/>
              </w:rPr>
              <w:instrText xml:space="preserve">= 2 \* GB3</w:instrText>
            </w:r>
            <w:r>
              <w:rPr>
                <w:rFonts w:asciiTheme="majorEastAsia" w:hAnsiTheme="majorEastAsia" w:eastAsiaTheme="majorEastAsia"/>
              </w:rPr>
              <w:instrText xml:space="preserve"> </w:instrText>
            </w:r>
            <w:r>
              <w:rPr>
                <w:rFonts w:asciiTheme="majorEastAsia" w:hAnsiTheme="majorEastAsia" w:eastAsiaTheme="majorEastAsia"/>
              </w:rPr>
              <w:fldChar w:fldCharType="separate"/>
            </w:r>
            <w:r>
              <w:rPr>
                <w:rFonts w:hint="eastAsia" w:asciiTheme="majorEastAsia" w:hAnsiTheme="majorEastAsia" w:eastAsiaTheme="majorEastAsia"/>
              </w:rPr>
              <w:t>②</w:t>
            </w:r>
            <w:r>
              <w:rPr>
                <w:rFonts w:asciiTheme="majorEastAsia" w:hAnsiTheme="majorEastAsia" w:eastAsiaTheme="majorEastAsia"/>
              </w:rPr>
              <w:fldChar w:fldCharType="end"/>
            </w:r>
            <w:r>
              <w:rPr>
                <w:rFonts w:hint="eastAsia" w:asciiTheme="majorEastAsia" w:hAnsiTheme="majorEastAsia" w:eastAsiaTheme="majorEastAsia"/>
              </w:rPr>
              <w:t>对维保人员进行正确的培训，评委根据供应商提交的培训方案酌情打分。优：3分；良：2分；差：1分；未提供不得分。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gridSpan w:val="2"/>
            <w:vMerge w:val="continue"/>
          </w:tcPr>
          <w:p>
            <w:pPr>
              <w:spacing w:line="440" w:lineRule="exact"/>
              <w:jc w:val="center"/>
              <w:rPr>
                <w:rFonts w:cs="宋体" w:asciiTheme="majorEastAsia" w:hAnsiTheme="majorEastAsia" w:eastAsiaTheme="majorEastAsia"/>
              </w:rPr>
            </w:pPr>
          </w:p>
        </w:tc>
        <w:tc>
          <w:tcPr>
            <w:tcW w:w="1828" w:type="dxa"/>
            <w:vAlign w:val="center"/>
          </w:tcPr>
          <w:p>
            <w:pPr>
              <w:widowControl/>
              <w:adjustRightInd w:val="0"/>
              <w:spacing w:line="320" w:lineRule="exact"/>
              <w:jc w:val="center"/>
              <w:rPr>
                <w:rFonts w:cs="宋体" w:asciiTheme="majorEastAsia" w:hAnsiTheme="majorEastAsia" w:eastAsiaTheme="majorEastAsia"/>
                <w:kern w:val="0"/>
              </w:rPr>
            </w:pPr>
            <w:r>
              <w:rPr>
                <w:rFonts w:hint="eastAsia" w:cs="宋体" w:asciiTheme="majorEastAsia" w:hAnsiTheme="majorEastAsia" w:eastAsiaTheme="majorEastAsia"/>
                <w:kern w:val="0"/>
              </w:rPr>
              <w:t>应急抢修时间</w:t>
            </w:r>
          </w:p>
          <w:p>
            <w:pPr>
              <w:widowControl/>
              <w:adjustRightInd w:val="0"/>
              <w:spacing w:line="320" w:lineRule="exact"/>
              <w:jc w:val="center"/>
              <w:rPr>
                <w:rFonts w:cs="宋体" w:asciiTheme="majorEastAsia" w:hAnsiTheme="majorEastAsia" w:eastAsiaTheme="majorEastAsia"/>
                <w:kern w:val="0"/>
              </w:rPr>
            </w:pPr>
            <w:r>
              <w:rPr>
                <w:rFonts w:hint="eastAsia" w:cs="宋体" w:asciiTheme="majorEastAsia" w:hAnsiTheme="majorEastAsia" w:eastAsiaTheme="majorEastAsia"/>
                <w:kern w:val="0"/>
              </w:rPr>
              <w:t>承诺（3分）</w:t>
            </w:r>
          </w:p>
        </w:tc>
        <w:tc>
          <w:tcPr>
            <w:tcW w:w="6505" w:type="dxa"/>
            <w:gridSpan w:val="2"/>
            <w:vAlign w:val="center"/>
          </w:tcPr>
          <w:p>
            <w:pPr>
              <w:adjustRightInd w:val="0"/>
              <w:spacing w:line="320" w:lineRule="exact"/>
              <w:jc w:val="left"/>
              <w:rPr>
                <w:rFonts w:asciiTheme="majorEastAsia" w:hAnsiTheme="majorEastAsia" w:eastAsiaTheme="majorEastAsia"/>
              </w:rPr>
            </w:pPr>
            <w:r>
              <w:rPr>
                <w:rFonts w:asciiTheme="majorEastAsia" w:hAnsiTheme="majorEastAsia" w:eastAsiaTheme="majorEastAsia"/>
              </w:rPr>
              <w:t>根据项目需求中的要求，提供消防维保应急抢修及故障处理响应时间，未提供或达不到项目需求中的要求的，不得分。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59" w:type="dxa"/>
            <w:gridSpan w:val="2"/>
            <w:vMerge w:val="continue"/>
          </w:tcPr>
          <w:p>
            <w:pPr>
              <w:spacing w:line="440" w:lineRule="exact"/>
              <w:jc w:val="center"/>
              <w:rPr>
                <w:rFonts w:cs="宋体" w:asciiTheme="majorEastAsia" w:hAnsiTheme="majorEastAsia" w:eastAsiaTheme="majorEastAsia"/>
              </w:rPr>
            </w:pPr>
          </w:p>
        </w:tc>
        <w:tc>
          <w:tcPr>
            <w:tcW w:w="1828" w:type="dxa"/>
            <w:vAlign w:val="center"/>
          </w:tcPr>
          <w:p>
            <w:pPr>
              <w:widowControl/>
              <w:adjustRightInd w:val="0"/>
              <w:spacing w:line="320" w:lineRule="exact"/>
              <w:jc w:val="center"/>
              <w:rPr>
                <w:rFonts w:cs="宋体" w:asciiTheme="majorEastAsia" w:hAnsiTheme="majorEastAsia" w:eastAsiaTheme="majorEastAsia"/>
                <w:kern w:val="0"/>
              </w:rPr>
            </w:pPr>
            <w:r>
              <w:rPr>
                <w:rFonts w:hint="eastAsia" w:cs="宋体" w:asciiTheme="majorEastAsia" w:hAnsiTheme="majorEastAsia" w:eastAsiaTheme="majorEastAsia"/>
                <w:kern w:val="0"/>
              </w:rPr>
              <w:t>维保承诺</w:t>
            </w:r>
          </w:p>
          <w:p>
            <w:pPr>
              <w:widowControl/>
              <w:adjustRightInd w:val="0"/>
              <w:spacing w:line="320" w:lineRule="exact"/>
              <w:jc w:val="center"/>
              <w:rPr>
                <w:rFonts w:cs="宋体" w:asciiTheme="majorEastAsia" w:hAnsiTheme="majorEastAsia" w:eastAsiaTheme="majorEastAsia"/>
                <w:bCs/>
                <w:kern w:val="0"/>
              </w:rPr>
            </w:pPr>
            <w:r>
              <w:rPr>
                <w:rFonts w:hint="eastAsia" w:cs="宋体" w:asciiTheme="majorEastAsia" w:hAnsiTheme="majorEastAsia" w:eastAsiaTheme="majorEastAsia"/>
                <w:kern w:val="0"/>
              </w:rPr>
              <w:t>（3分）</w:t>
            </w:r>
          </w:p>
        </w:tc>
        <w:tc>
          <w:tcPr>
            <w:tcW w:w="6505" w:type="dxa"/>
            <w:gridSpan w:val="2"/>
            <w:vAlign w:val="center"/>
          </w:tcPr>
          <w:p>
            <w:pPr>
              <w:spacing w:line="320" w:lineRule="exact"/>
              <w:jc w:val="left"/>
              <w:rPr>
                <w:rFonts w:asciiTheme="majorEastAsia" w:hAnsiTheme="majorEastAsia" w:eastAsiaTheme="majorEastAsia"/>
              </w:rPr>
            </w:pPr>
            <w:r>
              <w:rPr>
                <w:rFonts w:hint="eastAsia" w:cs="宋体" w:asciiTheme="majorEastAsia" w:hAnsiTheme="majorEastAsia" w:eastAsiaTheme="majorEastAsia"/>
                <w:kern w:val="0"/>
              </w:rPr>
              <w:t>因维保不当原因造成消防系统重大故障的承诺及扣罚措施。根据提供的承诺，横向比较：</w:t>
            </w:r>
            <w:r>
              <w:rPr>
                <w:rFonts w:hint="eastAsia" w:asciiTheme="majorEastAsia" w:hAnsiTheme="majorEastAsia" w:eastAsiaTheme="majorEastAsia"/>
              </w:rPr>
              <w:t>2分＜优≤3分；1分＜良≤2分；0分＜一般≤1分；未提供不得分。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59" w:type="dxa"/>
            <w:gridSpan w:val="2"/>
            <w:vMerge w:val="continue"/>
          </w:tcPr>
          <w:p>
            <w:pPr>
              <w:spacing w:line="440" w:lineRule="exact"/>
              <w:jc w:val="center"/>
              <w:rPr>
                <w:rFonts w:cs="宋体" w:asciiTheme="majorEastAsia" w:hAnsiTheme="majorEastAsia" w:eastAsiaTheme="majorEastAsia"/>
              </w:rPr>
            </w:pPr>
          </w:p>
        </w:tc>
        <w:tc>
          <w:tcPr>
            <w:tcW w:w="1828" w:type="dxa"/>
            <w:vAlign w:val="center"/>
          </w:tcPr>
          <w:p>
            <w:pPr>
              <w:widowControl/>
              <w:adjustRightInd w:val="0"/>
              <w:spacing w:line="320" w:lineRule="exact"/>
              <w:jc w:val="center"/>
              <w:rPr>
                <w:rFonts w:cs="宋体" w:asciiTheme="majorEastAsia" w:hAnsiTheme="majorEastAsia" w:eastAsiaTheme="majorEastAsia"/>
                <w:kern w:val="0"/>
              </w:rPr>
            </w:pPr>
            <w:r>
              <w:rPr>
                <w:rFonts w:hint="eastAsia" w:cs="宋体" w:asciiTheme="majorEastAsia" w:hAnsiTheme="majorEastAsia" w:eastAsiaTheme="majorEastAsia"/>
                <w:kern w:val="0"/>
              </w:rPr>
              <w:t>消防系统易耗品报价（10分）</w:t>
            </w:r>
          </w:p>
        </w:tc>
        <w:tc>
          <w:tcPr>
            <w:tcW w:w="6505" w:type="dxa"/>
            <w:gridSpan w:val="2"/>
            <w:vAlign w:val="center"/>
          </w:tcPr>
          <w:p>
            <w:pPr>
              <w:spacing w:line="320" w:lineRule="exact"/>
              <w:jc w:val="left"/>
              <w:rPr>
                <w:rFonts w:cs="宋体" w:asciiTheme="majorEastAsia" w:hAnsiTheme="majorEastAsia" w:eastAsiaTheme="majorEastAsia"/>
                <w:kern w:val="0"/>
              </w:rPr>
            </w:pPr>
            <w:r>
              <w:rPr>
                <w:rFonts w:hint="eastAsia" w:cs="宋体" w:asciiTheme="majorEastAsia" w:hAnsiTheme="majorEastAsia" w:eastAsiaTheme="majorEastAsia"/>
                <w:kern w:val="0"/>
              </w:rPr>
              <w:t>供应商需对项目需求附件五中《消防系统易耗品清单》中32项设备分别进行报价并汇总报价，再对有效技术标中的此项汇总报价进行打分：</w:t>
            </w:r>
          </w:p>
          <w:p>
            <w:pPr>
              <w:pStyle w:val="12"/>
              <w:keepNext w:val="0"/>
              <w:keepLines w:val="0"/>
              <w:numPr>
                <w:ilvl w:val="0"/>
                <w:numId w:val="0"/>
              </w:numPr>
              <w:tabs>
                <w:tab w:val="left" w:pos="928"/>
              </w:tabs>
              <w:adjustRightInd w:val="0"/>
              <w:spacing w:before="0" w:after="0" w:line="360" w:lineRule="auto"/>
              <w:ind w:firstLine="105" w:firstLineChars="50"/>
              <w:textAlignment w:val="baseline"/>
              <w:rPr>
                <w:rFonts w:cs="宋体" w:asciiTheme="majorEastAsia" w:hAnsiTheme="majorEastAsia" w:eastAsiaTheme="majorEastAsia"/>
                <w:b w:val="0"/>
                <w:bCs w:val="0"/>
                <w:kern w:val="0"/>
                <w:sz w:val="21"/>
                <w:szCs w:val="21"/>
              </w:rPr>
            </w:pPr>
            <w:r>
              <w:rPr>
                <w:rFonts w:hint="eastAsia" w:cs="宋体" w:asciiTheme="majorEastAsia" w:hAnsiTheme="majorEastAsia" w:eastAsiaTheme="majorEastAsia"/>
                <w:b w:val="0"/>
                <w:bCs w:val="0"/>
                <w:kern w:val="0"/>
                <w:sz w:val="21"/>
                <w:szCs w:val="21"/>
              </w:rPr>
              <w:t>总报价最低的得10分，其余供应商的消防系统易耗品报价得分统一按照下列公式计算：</w:t>
            </w:r>
          </w:p>
          <w:p>
            <w:pPr>
              <w:pStyle w:val="12"/>
              <w:keepNext w:val="0"/>
              <w:keepLines w:val="0"/>
              <w:numPr>
                <w:ilvl w:val="0"/>
                <w:numId w:val="0"/>
              </w:numPr>
              <w:tabs>
                <w:tab w:val="left" w:pos="928"/>
              </w:tabs>
              <w:adjustRightInd w:val="0"/>
              <w:spacing w:before="0" w:after="0" w:line="360" w:lineRule="auto"/>
              <w:ind w:firstLine="105" w:firstLineChars="50"/>
              <w:textAlignment w:val="baseline"/>
              <w:rPr>
                <w:rFonts w:asciiTheme="majorEastAsia" w:hAnsiTheme="majorEastAsia" w:eastAsiaTheme="majorEastAsia"/>
                <w:b w:val="0"/>
                <w:sz w:val="21"/>
                <w:szCs w:val="21"/>
              </w:rPr>
            </w:pPr>
            <w:r>
              <w:rPr>
                <w:rFonts w:hint="eastAsia" w:cs="宋体" w:asciiTheme="majorEastAsia" w:hAnsiTheme="majorEastAsia" w:eastAsiaTheme="majorEastAsia"/>
                <w:b w:val="0"/>
                <w:bCs w:val="0"/>
                <w:kern w:val="0"/>
                <w:sz w:val="21"/>
                <w:szCs w:val="21"/>
              </w:rPr>
              <w:t>消防系统易耗品报价得分=（最低总报价／</w:t>
            </w:r>
            <w:r>
              <w:rPr>
                <w:rFonts w:hint="eastAsia" w:asciiTheme="majorEastAsia" w:hAnsiTheme="majorEastAsia" w:eastAsiaTheme="majorEastAsia"/>
                <w:b w:val="0"/>
                <w:sz w:val="21"/>
                <w:szCs w:val="21"/>
              </w:rPr>
              <w:t>各供应商总报价）×10</w:t>
            </w:r>
          </w:p>
          <w:p>
            <w:pPr>
              <w:spacing w:line="320" w:lineRule="exact"/>
              <w:jc w:val="left"/>
              <w:rPr>
                <w:rFonts w:cs="宋体" w:asciiTheme="majorEastAsia" w:hAnsiTheme="majorEastAsia" w:eastAsiaTheme="majorEastAsia"/>
                <w:kern w:val="0"/>
              </w:rPr>
            </w:pPr>
            <w:r>
              <w:rPr>
                <w:rFonts w:hint="eastAsia" w:cs="宋体" w:asciiTheme="majorEastAsia" w:hAnsiTheme="majorEastAsia" w:eastAsiaTheme="majorEastAsia"/>
                <w:b/>
                <w:bCs/>
                <w:kern w:val="0"/>
              </w:rPr>
              <w:t>消</w:t>
            </w:r>
            <w:r>
              <w:rPr>
                <w:rFonts w:hint="eastAsia" w:cs="宋体" w:asciiTheme="majorEastAsia" w:hAnsiTheme="majorEastAsia" w:eastAsiaTheme="majorEastAsia"/>
                <w:b/>
                <w:kern w:val="0"/>
              </w:rPr>
              <w:t>防系统易耗品报价得分保留小数点后两位。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59" w:type="dxa"/>
            <w:gridSpan w:val="2"/>
            <w:vMerge w:val="continue"/>
          </w:tcPr>
          <w:p>
            <w:pPr>
              <w:spacing w:line="440" w:lineRule="exact"/>
              <w:jc w:val="center"/>
              <w:rPr>
                <w:rFonts w:cs="宋体" w:asciiTheme="majorEastAsia" w:hAnsiTheme="majorEastAsia" w:eastAsiaTheme="majorEastAsia"/>
              </w:rPr>
            </w:pPr>
          </w:p>
        </w:tc>
        <w:tc>
          <w:tcPr>
            <w:tcW w:w="1828" w:type="dxa"/>
            <w:vAlign w:val="center"/>
          </w:tcPr>
          <w:p>
            <w:pPr>
              <w:widowControl/>
              <w:adjustRightInd w:val="0"/>
              <w:spacing w:line="320" w:lineRule="exact"/>
              <w:jc w:val="center"/>
              <w:rPr>
                <w:rFonts w:cs="宋体" w:asciiTheme="majorEastAsia" w:hAnsiTheme="majorEastAsia" w:eastAsiaTheme="majorEastAsia"/>
                <w:kern w:val="0"/>
              </w:rPr>
            </w:pPr>
            <w:r>
              <w:rPr>
                <w:rFonts w:hint="eastAsia" w:cs="宋体" w:asciiTheme="majorEastAsia" w:hAnsiTheme="majorEastAsia" w:eastAsiaTheme="majorEastAsia"/>
                <w:kern w:val="0"/>
              </w:rPr>
              <w:t>配件补充得分（4）</w:t>
            </w:r>
          </w:p>
        </w:tc>
        <w:tc>
          <w:tcPr>
            <w:tcW w:w="6505" w:type="dxa"/>
            <w:gridSpan w:val="2"/>
            <w:vAlign w:val="center"/>
          </w:tcPr>
          <w:p>
            <w:pPr>
              <w:spacing w:line="320" w:lineRule="exact"/>
              <w:jc w:val="left"/>
              <w:rPr>
                <w:rFonts w:cs="宋体" w:asciiTheme="majorEastAsia" w:hAnsiTheme="majorEastAsia" w:eastAsiaTheme="majorEastAsia"/>
                <w:kern w:val="0"/>
              </w:rPr>
            </w:pPr>
            <w:r>
              <w:rPr>
                <w:rFonts w:hint="eastAsia" w:cs="宋体" w:asciiTheme="majorEastAsia" w:hAnsiTheme="majorEastAsia" w:eastAsiaTheme="majorEastAsia"/>
                <w:kern w:val="0"/>
              </w:rPr>
              <w:t>除采购人提供的32项配件清单项外，补充的300元以内免费提供的配件项目多一项得1分，最多得4分。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292" w:type="dxa"/>
            <w:gridSpan w:val="5"/>
            <w:vAlign w:val="center"/>
          </w:tcPr>
          <w:p>
            <w:pPr>
              <w:spacing w:line="360" w:lineRule="exact"/>
              <w:jc w:val="left"/>
              <w:rPr>
                <w:rFonts w:ascii="宋体" w:hAnsi="宋体" w:cs="Arial"/>
                <w:b/>
              </w:rPr>
            </w:pPr>
            <w:r>
              <w:rPr>
                <w:rFonts w:hint="eastAsia" w:cs="宋体" w:asciiTheme="majorEastAsia" w:hAnsiTheme="majorEastAsia" w:eastAsiaTheme="majorEastAsia"/>
                <w:b/>
              </w:rPr>
              <w:t>注：1、条款号2.2.2技术商务标评审标准的资料需提供复印件并加盖单位公章，</w:t>
            </w:r>
            <w:r>
              <w:rPr>
                <w:rFonts w:hint="eastAsia" w:ascii="宋体" w:hAnsi="宋体" w:cs="Arial"/>
                <w:b/>
              </w:rPr>
              <w:t>同时提供原件，放入原件包中以供评审核验。</w:t>
            </w:r>
          </w:p>
          <w:p>
            <w:pPr>
              <w:spacing w:line="360" w:lineRule="exact"/>
              <w:jc w:val="left"/>
              <w:rPr>
                <w:rFonts w:cs="宋体" w:asciiTheme="majorEastAsia" w:hAnsiTheme="majorEastAsia" w:eastAsiaTheme="majorEastAsia"/>
                <w:b/>
              </w:rPr>
            </w:pPr>
            <w:r>
              <w:rPr>
                <w:rFonts w:hint="eastAsia" w:ascii="宋体" w:hAnsi="宋体" w:cs="宋体"/>
                <w:b/>
              </w:rPr>
              <w:t>2、最终得分计算保留小数点后</w:t>
            </w:r>
            <w:r>
              <w:rPr>
                <w:rFonts w:hint="eastAsia" w:ascii="宋体" w:hAnsi="宋体" w:cs="宋体"/>
                <w:b/>
                <w:lang w:val="en-US" w:eastAsia="zh-CN"/>
              </w:rPr>
              <w:t>两</w:t>
            </w:r>
            <w:r>
              <w:rPr>
                <w:rFonts w:hint="eastAsia" w:ascii="宋体" w:hAnsi="宋体" w:cs="宋体"/>
                <w:b/>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959" w:type="dxa"/>
            <w:gridSpan w:val="2"/>
            <w:vAlign w:val="center"/>
          </w:tcPr>
          <w:p>
            <w:pPr>
              <w:spacing w:line="360" w:lineRule="exact"/>
              <w:jc w:val="center"/>
              <w:rPr>
                <w:rFonts w:cs="宋体" w:asciiTheme="majorEastAsia" w:hAnsiTheme="majorEastAsia" w:eastAsiaTheme="majorEastAsia"/>
              </w:rPr>
            </w:pPr>
            <w:r>
              <w:rPr>
                <w:rFonts w:hint="eastAsia" w:cs="宋体" w:asciiTheme="majorEastAsia" w:hAnsiTheme="majorEastAsia" w:eastAsiaTheme="majorEastAsia"/>
              </w:rPr>
              <w:t>2.2.3报价标</w:t>
            </w:r>
          </w:p>
          <w:p>
            <w:pPr>
              <w:spacing w:line="360" w:lineRule="exact"/>
              <w:rPr>
                <w:rFonts w:cs="宋体" w:asciiTheme="majorEastAsia" w:hAnsiTheme="majorEastAsia" w:eastAsiaTheme="majorEastAsia"/>
                <w:b/>
              </w:rPr>
            </w:pPr>
            <w:r>
              <w:rPr>
                <w:rFonts w:hint="eastAsia" w:cs="宋体" w:asciiTheme="majorEastAsia" w:hAnsiTheme="majorEastAsia" w:eastAsiaTheme="majorEastAsia"/>
              </w:rPr>
              <w:t>（50 分）</w:t>
            </w:r>
          </w:p>
        </w:tc>
        <w:tc>
          <w:tcPr>
            <w:tcW w:w="8333" w:type="dxa"/>
            <w:gridSpan w:val="3"/>
            <w:vAlign w:val="center"/>
          </w:tcPr>
          <w:p>
            <w:pPr>
              <w:pStyle w:val="12"/>
              <w:keepNext w:val="0"/>
              <w:keepLines w:val="0"/>
              <w:numPr>
                <w:ilvl w:val="0"/>
                <w:numId w:val="0"/>
              </w:numPr>
              <w:tabs>
                <w:tab w:val="left" w:pos="928"/>
              </w:tabs>
              <w:adjustRightInd w:val="0"/>
              <w:spacing w:before="0" w:after="0" w:line="360" w:lineRule="auto"/>
              <w:textAlignment w:val="baseline"/>
              <w:rPr>
                <w:rFonts w:asciiTheme="majorEastAsia" w:hAnsiTheme="majorEastAsia" w:eastAsiaTheme="majorEastAsia"/>
                <w:b w:val="0"/>
                <w:sz w:val="21"/>
                <w:szCs w:val="21"/>
              </w:rPr>
            </w:pPr>
            <w:r>
              <w:rPr>
                <w:rFonts w:hint="eastAsia" w:asciiTheme="majorEastAsia" w:hAnsiTheme="majorEastAsia" w:eastAsiaTheme="majorEastAsia"/>
                <w:sz w:val="21"/>
                <w:szCs w:val="21"/>
              </w:rPr>
              <w:t xml:space="preserve">  </w:t>
            </w:r>
            <w:r>
              <w:rPr>
                <w:rFonts w:hint="eastAsia" w:asciiTheme="majorEastAsia" w:hAnsiTheme="majorEastAsia" w:eastAsiaTheme="majorEastAsia"/>
                <w:b w:val="0"/>
                <w:sz w:val="21"/>
                <w:szCs w:val="21"/>
              </w:rPr>
              <w:t xml:space="preserve"> 1、投标有效报价：投标总价超过最高限价的为无效投标</w:t>
            </w:r>
            <w:r>
              <w:rPr>
                <w:rFonts w:asciiTheme="majorEastAsia" w:hAnsiTheme="majorEastAsia" w:eastAsiaTheme="majorEastAsia"/>
                <w:b w:val="0"/>
                <w:sz w:val="21"/>
                <w:szCs w:val="21"/>
              </w:rPr>
              <w:t>。</w:t>
            </w:r>
          </w:p>
          <w:p>
            <w:pPr>
              <w:pStyle w:val="12"/>
              <w:keepNext w:val="0"/>
              <w:keepLines w:val="0"/>
              <w:numPr>
                <w:ilvl w:val="0"/>
                <w:numId w:val="0"/>
              </w:numPr>
              <w:tabs>
                <w:tab w:val="left" w:pos="928"/>
              </w:tabs>
              <w:adjustRightInd w:val="0"/>
              <w:spacing w:before="0" w:after="0" w:line="360" w:lineRule="auto"/>
              <w:textAlignment w:val="baseline"/>
              <w:rPr>
                <w:rFonts w:asciiTheme="majorEastAsia" w:hAnsiTheme="majorEastAsia" w:eastAsiaTheme="majorEastAsia"/>
                <w:b w:val="0"/>
                <w:sz w:val="21"/>
                <w:szCs w:val="21"/>
              </w:rPr>
            </w:pPr>
            <w:r>
              <w:rPr>
                <w:rFonts w:hint="eastAsia" w:asciiTheme="majorEastAsia" w:hAnsiTheme="majorEastAsia" w:eastAsiaTheme="majorEastAsia"/>
                <w:b w:val="0"/>
                <w:sz w:val="21"/>
                <w:szCs w:val="21"/>
              </w:rPr>
              <w:t xml:space="preserve">   2、本项目最高限价：47万元/年。</w:t>
            </w:r>
          </w:p>
          <w:p>
            <w:pPr>
              <w:pStyle w:val="12"/>
              <w:keepNext w:val="0"/>
              <w:keepLines w:val="0"/>
              <w:numPr>
                <w:ilvl w:val="0"/>
                <w:numId w:val="0"/>
              </w:numPr>
              <w:tabs>
                <w:tab w:val="left" w:pos="928"/>
              </w:tabs>
              <w:adjustRightInd w:val="0"/>
              <w:spacing w:before="0" w:after="0" w:line="360" w:lineRule="auto"/>
              <w:textAlignment w:val="baseline"/>
              <w:rPr>
                <w:rFonts w:asciiTheme="majorEastAsia" w:hAnsiTheme="majorEastAsia" w:eastAsiaTheme="majorEastAsia"/>
                <w:b w:val="0"/>
                <w:sz w:val="21"/>
                <w:szCs w:val="21"/>
              </w:rPr>
            </w:pPr>
            <w:r>
              <w:rPr>
                <w:rFonts w:hint="eastAsia" w:asciiTheme="majorEastAsia" w:hAnsiTheme="majorEastAsia" w:eastAsiaTheme="majorEastAsia"/>
                <w:b w:val="0"/>
                <w:sz w:val="21"/>
                <w:szCs w:val="21"/>
              </w:rPr>
              <w:t xml:space="preserve">   3、满足招标文件要求且投标有效报价最低的投标报价为评标基准价，其价格分为满分（50分），其他供应商的价格分统一按照下列公式计算： </w:t>
            </w:r>
          </w:p>
          <w:p>
            <w:pPr>
              <w:pStyle w:val="12"/>
              <w:keepNext w:val="0"/>
              <w:keepLines w:val="0"/>
              <w:numPr>
                <w:ilvl w:val="0"/>
                <w:numId w:val="0"/>
              </w:numPr>
              <w:tabs>
                <w:tab w:val="left" w:pos="928"/>
              </w:tabs>
              <w:adjustRightInd w:val="0"/>
              <w:spacing w:before="0" w:after="0" w:line="360" w:lineRule="auto"/>
              <w:ind w:firstLine="105" w:firstLineChars="50"/>
              <w:textAlignment w:val="baseline"/>
              <w:rPr>
                <w:rFonts w:asciiTheme="majorEastAsia" w:hAnsiTheme="majorEastAsia" w:eastAsiaTheme="majorEastAsia"/>
                <w:b w:val="0"/>
                <w:sz w:val="21"/>
                <w:szCs w:val="21"/>
              </w:rPr>
            </w:pPr>
            <w:r>
              <w:rPr>
                <w:rFonts w:hint="eastAsia" w:asciiTheme="majorEastAsia" w:hAnsiTheme="majorEastAsia" w:eastAsiaTheme="majorEastAsia"/>
                <w:b w:val="0"/>
                <w:sz w:val="21"/>
                <w:szCs w:val="21"/>
              </w:rPr>
              <w:t xml:space="preserve">   投标报价得分=（评标基准价／投标报价）×报价权值50%×100</w:t>
            </w:r>
          </w:p>
          <w:p>
            <w:pPr>
              <w:snapToGrid w:val="0"/>
              <w:spacing w:line="360" w:lineRule="auto"/>
              <w:ind w:firstLine="315" w:firstLineChars="150"/>
              <w:jc w:val="left"/>
              <w:rPr>
                <w:rFonts w:asciiTheme="majorEastAsia" w:hAnsiTheme="majorEastAsia" w:eastAsiaTheme="majorEastAsia"/>
                <w:b/>
                <w:bCs/>
              </w:rPr>
            </w:pPr>
            <w:r>
              <w:rPr>
                <w:rFonts w:hint="eastAsia" w:asciiTheme="majorEastAsia" w:hAnsiTheme="majorEastAsia" w:eastAsiaTheme="majorEastAsia"/>
                <w:bCs/>
              </w:rPr>
              <w:t>4、最终得分计算保留小数点后</w:t>
            </w:r>
            <w:r>
              <w:rPr>
                <w:rFonts w:hint="eastAsia" w:asciiTheme="majorEastAsia" w:hAnsiTheme="majorEastAsia" w:eastAsiaTheme="majorEastAsia"/>
                <w:bCs/>
                <w:lang w:val="en-US" w:eastAsia="zh-CN"/>
              </w:rPr>
              <w:t>两</w:t>
            </w:r>
            <w:bookmarkStart w:id="183" w:name="_GoBack"/>
            <w:bookmarkEnd w:id="183"/>
            <w:r>
              <w:rPr>
                <w:rFonts w:hint="eastAsia" w:asciiTheme="majorEastAsia" w:hAnsiTheme="majorEastAsia" w:eastAsiaTheme="majorEastAsia"/>
                <w:bCs/>
              </w:rPr>
              <w:t>位。</w:t>
            </w:r>
          </w:p>
        </w:tc>
      </w:tr>
    </w:tbl>
    <w:p>
      <w:pPr>
        <w:spacing w:line="480" w:lineRule="exact"/>
        <w:ind w:firstLine="460" w:firstLineChars="200"/>
        <w:jc w:val="left"/>
        <w:rPr>
          <w:rFonts w:ascii="宋体" w:hAnsi="宋体" w:cs="仿宋_GB2312"/>
          <w:sz w:val="23"/>
          <w:szCs w:val="23"/>
        </w:rPr>
      </w:pPr>
      <w:r>
        <w:rPr>
          <w:rFonts w:hint="eastAsia" w:ascii="宋体" w:hAnsi="宋体" w:cs="仿宋_GB2312"/>
          <w:sz w:val="23"/>
          <w:szCs w:val="23"/>
        </w:rPr>
        <w:t>1、本次评标采用综合评分法。评标委员会对满足招标文件实质性要求的投标文件，按照本章第2.2款规定的评分标准进行打分，并按得分由高到低顺序推荐中标候选人。综合评分相等时，以投标报价低的优先；投标报价也相等的，则现场抽签确定。</w:t>
      </w:r>
    </w:p>
    <w:p>
      <w:pPr>
        <w:spacing w:line="480" w:lineRule="exact"/>
        <w:ind w:firstLine="460" w:firstLineChars="200"/>
        <w:jc w:val="left"/>
        <w:rPr>
          <w:rFonts w:ascii="宋体" w:hAnsi="宋体" w:cs="仿宋_GB2312"/>
          <w:sz w:val="23"/>
          <w:szCs w:val="23"/>
        </w:rPr>
      </w:pPr>
      <w:r>
        <w:rPr>
          <w:rFonts w:hint="eastAsia" w:ascii="宋体" w:hAnsi="宋体" w:cs="仿宋_GB2312"/>
          <w:sz w:val="23"/>
          <w:szCs w:val="23"/>
        </w:rPr>
        <w:t>2、本项目开标顺序为：资格审查-技术标-商务标开标-确定中标候选人。</w:t>
      </w:r>
    </w:p>
    <w:p>
      <w:pPr>
        <w:spacing w:line="480" w:lineRule="exact"/>
        <w:ind w:left="346" w:leftChars="165" w:firstLine="115" w:firstLineChars="50"/>
        <w:jc w:val="left"/>
        <w:rPr>
          <w:rFonts w:ascii="宋体" w:hAnsi="宋体" w:cs="仿宋_GB2312"/>
          <w:sz w:val="23"/>
          <w:szCs w:val="23"/>
        </w:rPr>
      </w:pPr>
      <w:r>
        <w:rPr>
          <w:rFonts w:hint="eastAsia" w:ascii="宋体" w:hAnsi="宋体" w:cs="仿宋_GB2312"/>
          <w:sz w:val="23"/>
          <w:szCs w:val="23"/>
        </w:rPr>
        <w:t>3、评标委员会认为供应商的报价明显低于其他供应商的报价，有可能影响服务质量或</w:t>
      </w:r>
    </w:p>
    <w:p>
      <w:pPr>
        <w:spacing w:line="480" w:lineRule="exact"/>
        <w:jc w:val="left"/>
        <w:rPr>
          <w:rFonts w:ascii="宋体" w:hAnsi="宋体" w:cs="仿宋_GB2312"/>
          <w:sz w:val="23"/>
          <w:szCs w:val="23"/>
        </w:rPr>
      </w:pPr>
      <w:r>
        <w:rPr>
          <w:rFonts w:hint="eastAsia" w:ascii="宋体" w:hAnsi="宋体" w:cs="仿宋_GB2312"/>
          <w:sz w:val="23"/>
          <w:szCs w:val="23"/>
        </w:rPr>
        <w:t>者不能诚信履约的，应当要求其在评标现场在规定时限之内提供书面说明，必要时提交相关证明材料；供应商不能证明其投标合理性的，评标委员会应当将其作为无效投标处理。</w:t>
      </w:r>
    </w:p>
    <w:p>
      <w:pPr>
        <w:spacing w:line="480" w:lineRule="exact"/>
        <w:ind w:firstLine="460" w:firstLineChars="200"/>
        <w:jc w:val="left"/>
        <w:rPr>
          <w:rFonts w:ascii="宋体" w:hAnsi="宋体" w:cs="仿宋_GB2312"/>
          <w:sz w:val="23"/>
          <w:szCs w:val="23"/>
        </w:rPr>
      </w:pPr>
      <w:r>
        <w:rPr>
          <w:rFonts w:hint="eastAsia" w:ascii="宋体" w:hAnsi="宋体" w:cs="仿宋_GB2312"/>
          <w:sz w:val="23"/>
          <w:szCs w:val="23"/>
        </w:rPr>
        <w:t>4、评标争议。评标时评委对评标的细则若有争议，由评标委员会评委集体讨论确定，并对未尽情况有最终解释权。</w:t>
      </w:r>
    </w:p>
    <w:p>
      <w:pPr>
        <w:snapToGrid w:val="0"/>
        <w:spacing w:line="360" w:lineRule="auto"/>
        <w:jc w:val="center"/>
        <w:rPr>
          <w:rFonts w:ascii="宋体" w:hAnsi="宋体"/>
          <w:bCs/>
          <w:sz w:val="44"/>
        </w:rPr>
      </w:pPr>
      <w:r>
        <w:rPr>
          <w:rFonts w:ascii="宋体" w:hAnsi="宋体"/>
          <w:bCs/>
          <w:sz w:val="44"/>
        </w:rPr>
        <w:br w:type="page"/>
      </w:r>
      <w:bookmarkEnd w:id="169"/>
      <w:bookmarkEnd w:id="170"/>
      <w:bookmarkEnd w:id="171"/>
      <w:bookmarkStart w:id="172" w:name="_Toc479962294"/>
      <w:r>
        <w:rPr>
          <w:rFonts w:hint="eastAsia" w:ascii="宋体" w:hAnsi="宋体"/>
          <w:bCs/>
          <w:sz w:val="44"/>
        </w:rPr>
        <w:t>第七章  投标</w:t>
      </w:r>
      <w:bookmarkEnd w:id="166"/>
      <w:bookmarkEnd w:id="167"/>
      <w:bookmarkEnd w:id="168"/>
      <w:r>
        <w:rPr>
          <w:rFonts w:hint="eastAsia" w:ascii="宋体" w:hAnsi="宋体"/>
          <w:bCs/>
          <w:sz w:val="44"/>
        </w:rPr>
        <w:t>文件格式</w:t>
      </w:r>
      <w:bookmarkEnd w:id="172"/>
    </w:p>
    <w:p>
      <w:pPr>
        <w:snapToGrid w:val="0"/>
        <w:spacing w:line="360" w:lineRule="auto"/>
        <w:jc w:val="center"/>
        <w:outlineLvl w:val="0"/>
        <w:rPr>
          <w:rFonts w:ascii="宋体" w:hAnsi="宋体" w:cs="仿宋_GB2312"/>
          <w:b/>
          <w:bCs/>
          <w:sz w:val="30"/>
          <w:szCs w:val="30"/>
        </w:rPr>
      </w:pPr>
      <w:bookmarkStart w:id="173" w:name="_Hlt26955039"/>
      <w:bookmarkEnd w:id="173"/>
      <w:bookmarkStart w:id="174" w:name="_Hlt26671244"/>
      <w:bookmarkEnd w:id="174"/>
      <w:bookmarkStart w:id="175" w:name="_Toc387526346"/>
      <w:bookmarkStart w:id="176" w:name="_Toc387526438"/>
      <w:bookmarkStart w:id="177" w:name="_Toc387526242"/>
      <w:bookmarkStart w:id="178" w:name="_Toc5230"/>
      <w:bookmarkStart w:id="179" w:name="_Toc397928632"/>
      <w:bookmarkStart w:id="180" w:name="_Toc120614282"/>
      <w:bookmarkStart w:id="181" w:name="_Toc49090576"/>
      <w:bookmarkStart w:id="182" w:name="_Toc26554094"/>
    </w:p>
    <w:p>
      <w:pPr>
        <w:snapToGrid w:val="0"/>
        <w:spacing w:line="360" w:lineRule="auto"/>
        <w:jc w:val="center"/>
        <w:outlineLvl w:val="0"/>
        <w:rPr>
          <w:rFonts w:ascii="宋体" w:hAnsi="宋体" w:cs="仿宋_GB2312"/>
          <w:b/>
          <w:bCs/>
          <w:sz w:val="30"/>
          <w:szCs w:val="30"/>
        </w:rPr>
      </w:pPr>
      <w:r>
        <w:rPr>
          <w:rFonts w:hint="eastAsia" w:ascii="宋体" w:hAnsi="宋体" w:cs="仿宋_GB2312"/>
          <w:b/>
          <w:bCs/>
          <w:sz w:val="30"/>
          <w:szCs w:val="30"/>
        </w:rPr>
        <w:t>1、 法定代表人身份证明</w:t>
      </w:r>
    </w:p>
    <w:p>
      <w:pPr>
        <w:snapToGrid w:val="0"/>
        <w:spacing w:line="360" w:lineRule="auto"/>
        <w:jc w:val="center"/>
        <w:rPr>
          <w:rFonts w:ascii="宋体" w:hAnsi="宋体" w:cs="仿宋_GB2312"/>
          <w:sz w:val="23"/>
          <w:szCs w:val="23"/>
        </w:rPr>
      </w:pPr>
      <w:r>
        <w:rPr>
          <w:rFonts w:hint="eastAsia" w:ascii="宋体" w:hAnsi="宋体" w:cs="仿宋_GB2312"/>
          <w:sz w:val="23"/>
          <w:szCs w:val="23"/>
        </w:rPr>
        <w:t>（法定代表人参加投标时，须出示此证明）</w:t>
      </w:r>
    </w:p>
    <w:p>
      <w:pPr>
        <w:snapToGrid w:val="0"/>
        <w:spacing w:line="360" w:lineRule="auto"/>
        <w:jc w:val="center"/>
        <w:rPr>
          <w:rFonts w:ascii="宋体" w:hAnsi="宋体" w:cs="仿宋_GB2312"/>
          <w:sz w:val="23"/>
          <w:szCs w:val="23"/>
        </w:rPr>
      </w:pPr>
    </w:p>
    <w:p>
      <w:pPr>
        <w:pStyle w:val="88"/>
        <w:spacing w:line="360" w:lineRule="auto"/>
        <w:ind w:firstLine="240" w:firstLineChars="100"/>
        <w:rPr>
          <w:rFonts w:hAnsi="宋体" w:cs="宋体"/>
          <w:sz w:val="21"/>
          <w:szCs w:val="21"/>
        </w:rPr>
      </w:pPr>
      <w:r>
        <w:rPr>
          <w:rFonts w:hint="eastAsia" w:asciiTheme="majorEastAsia" w:hAnsiTheme="majorEastAsia" w:eastAsiaTheme="majorEastAsia" w:cstheme="minorBidi"/>
          <w:color w:val="000000" w:themeColor="text1"/>
          <w:sz w:val="24"/>
          <w:u w:val="single"/>
        </w:rPr>
        <w:t>南通农副产品物流有限公司</w:t>
      </w:r>
      <w:r>
        <w:rPr>
          <w:rFonts w:hint="eastAsia" w:hAnsi="宋体" w:cs="宋体"/>
          <w:sz w:val="21"/>
          <w:szCs w:val="21"/>
          <w:u w:val="single"/>
        </w:rPr>
        <w:t xml:space="preserve"> </w:t>
      </w:r>
      <w:r>
        <w:rPr>
          <w:rFonts w:hint="eastAsia" w:hAnsi="宋体" w:cs="宋体"/>
          <w:sz w:val="21"/>
          <w:szCs w:val="21"/>
        </w:rPr>
        <w:t>：</w:t>
      </w:r>
    </w:p>
    <w:p>
      <w:pPr>
        <w:snapToGrid w:val="0"/>
        <w:spacing w:line="600" w:lineRule="exact"/>
        <w:ind w:left="231" w:leftChars="110" w:firstLine="575" w:firstLineChars="250"/>
        <w:rPr>
          <w:rFonts w:ascii="宋体" w:hAnsi="宋体" w:cs="仿宋_GB2312"/>
          <w:sz w:val="23"/>
          <w:szCs w:val="23"/>
        </w:rPr>
      </w:pPr>
      <w:r>
        <w:rPr>
          <w:rFonts w:hint="eastAsia" w:ascii="宋体" w:hAnsi="宋体" w:cs="仿宋_GB2312"/>
          <w:sz w:val="23"/>
          <w:szCs w:val="23"/>
        </w:rPr>
        <w:t>我公司法定代表人</w:t>
      </w:r>
      <w:r>
        <w:rPr>
          <w:rFonts w:hint="eastAsia" w:ascii="宋体" w:hAnsi="宋体" w:cs="仿宋_GB2312"/>
          <w:sz w:val="23"/>
          <w:szCs w:val="23"/>
          <w:u w:val="single"/>
        </w:rPr>
        <w:t xml:space="preserve">        </w:t>
      </w:r>
      <w:r>
        <w:rPr>
          <w:rFonts w:hint="eastAsia" w:ascii="宋体" w:hAnsi="宋体" w:cs="仿宋_GB2312"/>
          <w:sz w:val="23"/>
          <w:szCs w:val="23"/>
        </w:rPr>
        <w:t>参加贵单位组织的</w:t>
      </w:r>
      <w:r>
        <w:rPr>
          <w:rFonts w:hint="eastAsia" w:ascii="宋体" w:hAnsi="宋体" w:cs="仿宋_GB2312"/>
          <w:sz w:val="23"/>
          <w:szCs w:val="23"/>
          <w:u w:val="single"/>
        </w:rPr>
        <w:t xml:space="preserve">       </w:t>
      </w:r>
      <w:r>
        <w:rPr>
          <w:rFonts w:hint="eastAsia" w:ascii="宋体" w:hAnsi="宋体" w:cs="仿宋_GB2312"/>
          <w:sz w:val="23"/>
          <w:szCs w:val="23"/>
        </w:rPr>
        <w:t>（采购项目名称及项目编号)项目公开招标采购活动，全权代表我公司处理投标的有关事宜。</w:t>
      </w:r>
    </w:p>
    <w:p>
      <w:pPr>
        <w:snapToGrid w:val="0"/>
        <w:spacing w:line="600" w:lineRule="exact"/>
        <w:ind w:firstLine="230" w:firstLineChars="100"/>
        <w:rPr>
          <w:rFonts w:ascii="宋体" w:hAnsi="宋体" w:cs="仿宋_GB2312"/>
          <w:sz w:val="23"/>
          <w:szCs w:val="23"/>
        </w:rPr>
      </w:pPr>
      <w:r>
        <w:rPr>
          <w:rFonts w:hint="eastAsia" w:ascii="宋体" w:hAnsi="宋体" w:cs="仿宋_GB2312"/>
          <w:sz w:val="23"/>
          <w:szCs w:val="23"/>
        </w:rPr>
        <w:t>附：法定代表人情况：</w:t>
      </w:r>
    </w:p>
    <w:p>
      <w:pPr>
        <w:snapToGrid w:val="0"/>
        <w:spacing w:line="600" w:lineRule="exact"/>
        <w:ind w:firstLine="230" w:firstLineChars="100"/>
        <w:rPr>
          <w:rFonts w:ascii="宋体" w:hAnsi="宋体" w:cs="仿宋_GB2312"/>
          <w:sz w:val="23"/>
          <w:szCs w:val="23"/>
          <w:u w:val="single"/>
        </w:rPr>
      </w:pPr>
      <w:r>
        <w:rPr>
          <w:rFonts w:hint="eastAsia" w:ascii="宋体" w:hAnsi="宋体" w:cs="仿宋_GB2312"/>
          <w:sz w:val="23"/>
          <w:szCs w:val="23"/>
        </w:rPr>
        <w:t>姓名：</w:t>
      </w:r>
      <w:r>
        <w:rPr>
          <w:rFonts w:hint="eastAsia" w:ascii="宋体" w:hAnsi="宋体" w:cs="仿宋_GB2312"/>
          <w:sz w:val="23"/>
          <w:szCs w:val="23"/>
          <w:u w:val="single"/>
        </w:rPr>
        <w:t xml:space="preserve">         </w:t>
      </w:r>
      <w:r>
        <w:rPr>
          <w:rFonts w:hint="eastAsia" w:ascii="宋体" w:hAnsi="宋体" w:cs="仿宋_GB2312"/>
          <w:sz w:val="23"/>
          <w:szCs w:val="23"/>
        </w:rPr>
        <w:t>性别：</w:t>
      </w:r>
      <w:r>
        <w:rPr>
          <w:rFonts w:hint="eastAsia" w:ascii="宋体" w:hAnsi="宋体" w:cs="仿宋_GB2312"/>
          <w:sz w:val="23"/>
          <w:szCs w:val="23"/>
          <w:u w:val="single"/>
        </w:rPr>
        <w:t xml:space="preserve">    </w:t>
      </w:r>
      <w:r>
        <w:rPr>
          <w:rFonts w:hint="eastAsia" w:ascii="宋体" w:hAnsi="宋体" w:cs="仿宋_GB2312"/>
          <w:sz w:val="23"/>
          <w:szCs w:val="23"/>
        </w:rPr>
        <w:t>年龄：</w:t>
      </w:r>
      <w:r>
        <w:rPr>
          <w:rFonts w:hint="eastAsia" w:ascii="宋体" w:hAnsi="宋体" w:cs="仿宋_GB2312"/>
          <w:sz w:val="23"/>
          <w:szCs w:val="23"/>
          <w:u w:val="single"/>
        </w:rPr>
        <w:t xml:space="preserve">      </w:t>
      </w:r>
      <w:r>
        <w:rPr>
          <w:rFonts w:hint="eastAsia" w:ascii="宋体" w:hAnsi="宋体" w:cs="仿宋_GB2312"/>
          <w:sz w:val="23"/>
          <w:szCs w:val="23"/>
        </w:rPr>
        <w:t>职务：</w:t>
      </w:r>
      <w:r>
        <w:rPr>
          <w:rFonts w:hint="eastAsia" w:ascii="宋体" w:hAnsi="宋体" w:cs="仿宋_GB2312"/>
          <w:sz w:val="23"/>
          <w:szCs w:val="23"/>
          <w:u w:val="single"/>
        </w:rPr>
        <w:t xml:space="preserve">          </w:t>
      </w:r>
    </w:p>
    <w:p>
      <w:pPr>
        <w:snapToGrid w:val="0"/>
        <w:spacing w:line="600" w:lineRule="exact"/>
        <w:ind w:firstLine="230" w:firstLineChars="100"/>
        <w:rPr>
          <w:rFonts w:ascii="宋体" w:hAnsi="宋体" w:cs="仿宋_GB2312"/>
          <w:sz w:val="23"/>
          <w:szCs w:val="23"/>
        </w:rPr>
      </w:pPr>
      <w:r>
        <w:rPr>
          <w:rFonts w:hint="eastAsia" w:ascii="宋体" w:hAnsi="宋体" w:cs="仿宋_GB2312"/>
          <w:sz w:val="23"/>
          <w:szCs w:val="23"/>
        </w:rPr>
        <w:t>身份证号码：</w:t>
      </w:r>
      <w:r>
        <w:rPr>
          <w:rFonts w:hint="eastAsia" w:ascii="宋体" w:hAnsi="宋体" w:cs="仿宋_GB2312"/>
          <w:sz w:val="23"/>
          <w:szCs w:val="23"/>
          <w:u w:val="single"/>
        </w:rPr>
        <w:t xml:space="preserve">                                         </w:t>
      </w:r>
    </w:p>
    <w:p>
      <w:pPr>
        <w:snapToGrid w:val="0"/>
        <w:spacing w:line="600" w:lineRule="exact"/>
        <w:ind w:firstLine="230" w:firstLineChars="100"/>
        <w:rPr>
          <w:rFonts w:ascii="宋体" w:hAnsi="宋体" w:cs="仿宋_GB2312"/>
          <w:sz w:val="23"/>
          <w:szCs w:val="23"/>
        </w:rPr>
      </w:pPr>
      <w:r>
        <w:rPr>
          <w:rFonts w:hint="eastAsia" w:ascii="宋体" w:hAnsi="宋体" w:cs="仿宋_GB2312"/>
          <w:sz w:val="23"/>
          <w:szCs w:val="23"/>
        </w:rPr>
        <w:t>手机：</w:t>
      </w:r>
      <w:r>
        <w:rPr>
          <w:rFonts w:hint="eastAsia" w:ascii="宋体" w:hAnsi="宋体" w:cs="仿宋_GB2312"/>
          <w:sz w:val="23"/>
          <w:szCs w:val="23"/>
          <w:u w:val="single"/>
        </w:rPr>
        <w:t xml:space="preserve">                 </w:t>
      </w:r>
      <w:r>
        <w:rPr>
          <w:rFonts w:hint="eastAsia" w:ascii="宋体" w:hAnsi="宋体" w:cs="仿宋_GB2312"/>
          <w:sz w:val="23"/>
          <w:szCs w:val="23"/>
        </w:rPr>
        <w:t>传真：</w:t>
      </w:r>
      <w:r>
        <w:rPr>
          <w:rFonts w:hint="eastAsia" w:ascii="宋体" w:hAnsi="宋体" w:cs="仿宋_GB2312"/>
          <w:sz w:val="23"/>
          <w:szCs w:val="23"/>
          <w:u w:val="single"/>
        </w:rPr>
        <w:t xml:space="preserve">                        </w:t>
      </w:r>
    </w:p>
    <w:p>
      <w:pPr>
        <w:snapToGrid w:val="0"/>
        <w:spacing w:line="360" w:lineRule="auto"/>
        <w:rPr>
          <w:rFonts w:ascii="宋体" w:hAnsi="宋体" w:cs="仿宋_GB2312"/>
          <w:sz w:val="23"/>
          <w:szCs w:val="23"/>
        </w:rPr>
      </w:pPr>
      <w:r>
        <w:rPr>
          <w:rFonts w:hint="eastAsia" w:ascii="宋体" w:hAnsi="宋体" w:cs="仿宋_GB2312"/>
          <w:sz w:val="23"/>
          <w:szCs w:val="23"/>
        </w:rPr>
        <w:t> </w:t>
      </w:r>
    </w:p>
    <w:p>
      <w:pPr>
        <w:snapToGrid w:val="0"/>
        <w:spacing w:line="360" w:lineRule="auto"/>
        <w:ind w:firstLine="230" w:firstLineChars="100"/>
        <w:rPr>
          <w:rFonts w:ascii="宋体" w:hAnsi="宋体" w:cs="仿宋_GB2312"/>
          <w:sz w:val="23"/>
          <w:szCs w:val="23"/>
        </w:rPr>
      </w:pPr>
      <w:r>
        <w:rPr>
          <w:rFonts w:hint="eastAsia" w:ascii="宋体" w:hAnsi="宋体" w:cs="仿宋_GB2312"/>
          <w:sz w:val="23"/>
          <w:szCs w:val="23"/>
        </w:rPr>
        <w:t>单位名称（公章）             法定代表人（签字）</w:t>
      </w:r>
    </w:p>
    <w:p>
      <w:pPr>
        <w:snapToGrid w:val="0"/>
        <w:spacing w:line="360" w:lineRule="auto"/>
        <w:ind w:firstLine="230" w:firstLineChars="100"/>
        <w:rPr>
          <w:rFonts w:ascii="宋体" w:hAnsi="宋体" w:cs="仿宋_GB2312"/>
          <w:sz w:val="23"/>
          <w:szCs w:val="23"/>
        </w:rPr>
      </w:pPr>
    </w:p>
    <w:p>
      <w:pPr>
        <w:snapToGrid w:val="0"/>
        <w:spacing w:line="360" w:lineRule="auto"/>
        <w:ind w:firstLine="1495" w:firstLineChars="650"/>
        <w:rPr>
          <w:rFonts w:ascii="宋体" w:hAnsi="宋体" w:cs="仿宋_GB2312"/>
          <w:sz w:val="23"/>
          <w:szCs w:val="23"/>
        </w:rPr>
      </w:pPr>
      <w:r>
        <w:rPr>
          <w:rFonts w:hint="eastAsia" w:ascii="宋体" w:hAnsi="宋体" w:cs="仿宋_GB2312"/>
          <w:sz w:val="23"/>
          <w:szCs w:val="23"/>
        </w:rPr>
        <w:t xml:space="preserve">年   月   日                 年   月    日  </w:t>
      </w:r>
    </w:p>
    <w:p>
      <w:pPr>
        <w:snapToGrid w:val="0"/>
        <w:spacing w:line="360" w:lineRule="auto"/>
        <w:rPr>
          <w:rFonts w:ascii="宋体" w:hAnsi="宋体" w:cs="仿宋_GB2312"/>
          <w:sz w:val="23"/>
          <w:szCs w:val="23"/>
        </w:rPr>
      </w:pPr>
    </w:p>
    <w:p>
      <w:pPr>
        <w:snapToGrid w:val="0"/>
        <w:spacing w:line="360" w:lineRule="auto"/>
        <w:rPr>
          <w:rFonts w:ascii="宋体" w:hAnsi="宋体" w:cs="仿宋_GB2312"/>
          <w:sz w:val="23"/>
          <w:szCs w:val="23"/>
        </w:rPr>
      </w:pPr>
    </w:p>
    <w:p>
      <w:pPr>
        <w:snapToGrid w:val="0"/>
        <w:spacing w:line="360" w:lineRule="auto"/>
        <w:rPr>
          <w:rFonts w:ascii="宋体" w:hAnsi="宋体" w:cs="仿宋_GB2312"/>
          <w:sz w:val="23"/>
          <w:szCs w:val="23"/>
        </w:rPr>
      </w:pPr>
    </w:p>
    <w:p>
      <w:pPr>
        <w:snapToGrid w:val="0"/>
        <w:spacing w:line="360" w:lineRule="auto"/>
        <w:rPr>
          <w:rFonts w:ascii="宋体" w:hAnsi="宋体" w:cs="仿宋_GB2312"/>
          <w:sz w:val="23"/>
          <w:szCs w:val="23"/>
        </w:rPr>
      </w:pPr>
      <w:r>
        <w:rPr>
          <w:rFonts w:hint="eastAsia" w:ascii="宋体" w:hAnsi="宋体" w:cs="仿宋_GB2312"/>
          <w:sz w:val="23"/>
          <w:szCs w:val="23"/>
        </w:rPr>
        <w:t>法定代表人身份证复印件</w:t>
      </w:r>
    </w:p>
    <w:p>
      <w:pPr>
        <w:snapToGrid w:val="0"/>
        <w:spacing w:line="360" w:lineRule="auto"/>
        <w:rPr>
          <w:rFonts w:ascii="宋体" w:hAnsi="宋体" w:cs="仿宋_GB2312"/>
          <w:sz w:val="23"/>
          <w:szCs w:val="23"/>
        </w:rPr>
      </w:pPr>
    </w:p>
    <w:p>
      <w:pPr>
        <w:snapToGrid w:val="0"/>
        <w:spacing w:line="360" w:lineRule="auto"/>
        <w:ind w:firstLine="2185" w:firstLineChars="950"/>
        <w:rPr>
          <w:rFonts w:ascii="宋体" w:hAnsi="宋体" w:cs="仿宋_GB2312"/>
          <w:sz w:val="23"/>
          <w:szCs w:val="23"/>
        </w:rPr>
      </w:pPr>
      <w:r>
        <w:rPr>
          <w:rFonts w:hint="eastAsia" w:ascii="宋体" w:hAnsi="宋体" w:cs="仿宋_GB2312"/>
          <w:sz w:val="23"/>
          <w:szCs w:val="23"/>
        </w:rPr>
        <w:t>（粘贴此处）</w:t>
      </w:r>
    </w:p>
    <w:p>
      <w:pPr>
        <w:snapToGrid w:val="0"/>
        <w:spacing w:line="360" w:lineRule="auto"/>
        <w:ind w:firstLine="2185" w:firstLineChars="950"/>
        <w:rPr>
          <w:rFonts w:ascii="宋体" w:hAnsi="宋体" w:cs="仿宋_GB2312"/>
          <w:sz w:val="23"/>
          <w:szCs w:val="23"/>
        </w:rPr>
      </w:pPr>
    </w:p>
    <w:p>
      <w:pPr>
        <w:snapToGrid w:val="0"/>
        <w:spacing w:line="360" w:lineRule="auto"/>
        <w:ind w:firstLine="2185" w:firstLineChars="950"/>
        <w:rPr>
          <w:rFonts w:ascii="宋体" w:hAnsi="宋体" w:cs="仿宋_GB2312"/>
          <w:sz w:val="23"/>
          <w:szCs w:val="23"/>
        </w:rPr>
      </w:pPr>
    </w:p>
    <w:p>
      <w:pPr>
        <w:snapToGrid w:val="0"/>
        <w:spacing w:line="360" w:lineRule="auto"/>
        <w:ind w:firstLine="2185" w:firstLineChars="950"/>
        <w:rPr>
          <w:rFonts w:ascii="宋体" w:hAnsi="宋体" w:cs="仿宋_GB2312"/>
          <w:sz w:val="23"/>
          <w:szCs w:val="23"/>
        </w:rPr>
      </w:pPr>
    </w:p>
    <w:p>
      <w:pPr>
        <w:snapToGrid w:val="0"/>
        <w:spacing w:line="360" w:lineRule="auto"/>
        <w:rPr>
          <w:rFonts w:ascii="宋体" w:hAnsi="宋体" w:cs="仿宋_GB2312"/>
          <w:b/>
          <w:bCs/>
          <w:sz w:val="23"/>
          <w:szCs w:val="23"/>
        </w:rPr>
      </w:pPr>
      <w:r>
        <w:rPr>
          <w:rFonts w:hint="eastAsia" w:ascii="宋体" w:hAnsi="宋体" w:cs="仿宋_GB2312"/>
          <w:b/>
          <w:bCs/>
          <w:sz w:val="23"/>
          <w:szCs w:val="23"/>
        </w:rPr>
        <w:t>注:参加投标时法定代表人将身份证原件带至开标现场备查</w:t>
      </w:r>
    </w:p>
    <w:p>
      <w:pPr>
        <w:snapToGrid w:val="0"/>
        <w:spacing w:line="360" w:lineRule="auto"/>
        <w:outlineLvl w:val="0"/>
        <w:rPr>
          <w:rFonts w:ascii="宋体" w:hAnsi="宋体" w:cs="仿宋_GB2312"/>
          <w:b/>
          <w:sz w:val="24"/>
        </w:rPr>
      </w:pPr>
    </w:p>
    <w:p>
      <w:pPr>
        <w:snapToGrid w:val="0"/>
        <w:spacing w:line="360" w:lineRule="auto"/>
        <w:jc w:val="center"/>
        <w:outlineLvl w:val="0"/>
        <w:rPr>
          <w:rFonts w:ascii="宋体" w:hAnsi="宋体" w:cs="仿宋_GB2312"/>
          <w:sz w:val="24"/>
        </w:rPr>
      </w:pPr>
      <w:r>
        <w:rPr>
          <w:rFonts w:ascii="宋体" w:hAnsi="宋体" w:cs="仿宋_GB2312"/>
          <w:sz w:val="24"/>
        </w:rPr>
        <w:br w:type="page"/>
      </w:r>
      <w:r>
        <w:rPr>
          <w:rFonts w:hint="eastAsia" w:ascii="宋体" w:hAnsi="宋体" w:cs="仿宋_GB2312"/>
          <w:b/>
          <w:bCs/>
          <w:sz w:val="30"/>
          <w:szCs w:val="30"/>
        </w:rPr>
        <w:t>2、授权委托书</w:t>
      </w:r>
    </w:p>
    <w:p>
      <w:pPr>
        <w:spacing w:line="360" w:lineRule="auto"/>
        <w:contextualSpacing/>
        <w:jc w:val="center"/>
        <w:rPr>
          <w:rFonts w:ascii="宋体" w:hAnsi="宋体" w:cs="仿宋_GB2312"/>
          <w:sz w:val="23"/>
          <w:szCs w:val="23"/>
        </w:rPr>
      </w:pPr>
      <w:r>
        <w:rPr>
          <w:rFonts w:hint="eastAsia" w:ascii="宋体" w:hAnsi="宋体" w:cs="仿宋_GB2312"/>
          <w:sz w:val="23"/>
          <w:szCs w:val="23"/>
        </w:rPr>
        <w:t>（被授权人参加投标时，须出示此证明）</w:t>
      </w:r>
    </w:p>
    <w:p>
      <w:pPr>
        <w:snapToGrid w:val="0"/>
        <w:spacing w:line="360" w:lineRule="auto"/>
        <w:jc w:val="center"/>
        <w:rPr>
          <w:rFonts w:ascii="宋体" w:hAnsi="宋体" w:cs="仿宋_GB2312"/>
          <w:sz w:val="23"/>
          <w:szCs w:val="23"/>
        </w:rPr>
      </w:pPr>
    </w:p>
    <w:p>
      <w:pPr>
        <w:pStyle w:val="88"/>
        <w:spacing w:line="360" w:lineRule="auto"/>
        <w:rPr>
          <w:rFonts w:hAnsi="宋体" w:cs="宋体"/>
          <w:sz w:val="21"/>
          <w:szCs w:val="21"/>
        </w:rPr>
      </w:pPr>
      <w:r>
        <w:rPr>
          <w:rFonts w:hint="eastAsia" w:hAnsi="宋体" w:cs="宋体"/>
          <w:sz w:val="21"/>
          <w:szCs w:val="21"/>
          <w:u w:val="single"/>
        </w:rPr>
        <w:t xml:space="preserve"> </w:t>
      </w:r>
      <w:r>
        <w:rPr>
          <w:rFonts w:hint="eastAsia" w:asciiTheme="majorEastAsia" w:hAnsiTheme="majorEastAsia" w:eastAsiaTheme="majorEastAsia" w:cstheme="minorBidi"/>
          <w:color w:val="000000" w:themeColor="text1"/>
          <w:sz w:val="24"/>
          <w:u w:val="single"/>
        </w:rPr>
        <w:t>南通农副产品物流有限公司</w:t>
      </w:r>
      <w:r>
        <w:rPr>
          <w:rFonts w:hint="eastAsia" w:hAnsi="宋体" w:cs="宋体"/>
          <w:sz w:val="21"/>
          <w:szCs w:val="21"/>
          <w:u w:val="single"/>
        </w:rPr>
        <w:t xml:space="preserve"> </w:t>
      </w:r>
      <w:r>
        <w:rPr>
          <w:rFonts w:hint="eastAsia" w:hAnsi="宋体" w:cs="宋体"/>
          <w:sz w:val="21"/>
          <w:szCs w:val="21"/>
        </w:rPr>
        <w:t>：</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兹授权</w:t>
      </w:r>
      <w:r>
        <w:rPr>
          <w:rFonts w:hint="eastAsia" w:ascii="宋体" w:hAnsi="宋体" w:cs="仿宋_GB2312"/>
          <w:sz w:val="23"/>
          <w:szCs w:val="23"/>
          <w:u w:val="single"/>
        </w:rPr>
        <w:t xml:space="preserve">     （</w:t>
      </w:r>
      <w:r>
        <w:rPr>
          <w:rFonts w:hint="eastAsia" w:ascii="宋体" w:hAnsi="宋体" w:cs="仿宋_GB2312"/>
          <w:sz w:val="23"/>
          <w:szCs w:val="23"/>
        </w:rPr>
        <w:t>被授权人的姓名）代表我公司参加</w:t>
      </w:r>
      <w:r>
        <w:rPr>
          <w:rFonts w:hint="eastAsia" w:ascii="宋体" w:hAnsi="宋体" w:cs="仿宋_GB2312"/>
          <w:sz w:val="23"/>
          <w:szCs w:val="23"/>
          <w:u w:val="single"/>
        </w:rPr>
        <w:t xml:space="preserve">       </w:t>
      </w:r>
      <w:r>
        <w:rPr>
          <w:rFonts w:hint="eastAsia" w:ascii="宋体" w:hAnsi="宋体" w:cs="仿宋_GB2312"/>
          <w:sz w:val="23"/>
          <w:szCs w:val="23"/>
        </w:rPr>
        <w:t>项目的采购活动，全权处理一切与该项目公开招标有关的事务。其在办理上述事宜过程中所签署的所有文件我公司均予以承认。</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附：授权代表情况：</w:t>
      </w:r>
    </w:p>
    <w:p>
      <w:pPr>
        <w:snapToGrid w:val="0"/>
        <w:spacing w:line="600" w:lineRule="exact"/>
        <w:ind w:firstLine="460" w:firstLineChars="200"/>
        <w:rPr>
          <w:rFonts w:ascii="宋体" w:hAnsi="宋体" w:cs="仿宋_GB2312"/>
          <w:sz w:val="23"/>
          <w:szCs w:val="23"/>
          <w:u w:val="single"/>
        </w:rPr>
      </w:pPr>
      <w:r>
        <w:rPr>
          <w:rFonts w:hint="eastAsia" w:ascii="宋体" w:hAnsi="宋体" w:cs="仿宋_GB2312"/>
          <w:sz w:val="23"/>
          <w:szCs w:val="23"/>
        </w:rPr>
        <w:t>姓名：</w:t>
      </w:r>
      <w:r>
        <w:rPr>
          <w:rFonts w:hint="eastAsia" w:ascii="宋体" w:hAnsi="宋体" w:cs="仿宋_GB2312"/>
          <w:sz w:val="23"/>
          <w:szCs w:val="23"/>
          <w:u w:val="single"/>
        </w:rPr>
        <w:t xml:space="preserve">         </w:t>
      </w:r>
      <w:r>
        <w:rPr>
          <w:rFonts w:hint="eastAsia" w:ascii="宋体" w:hAnsi="宋体" w:cs="仿宋_GB2312"/>
          <w:sz w:val="23"/>
          <w:szCs w:val="23"/>
        </w:rPr>
        <w:t>性别：</w:t>
      </w:r>
      <w:r>
        <w:rPr>
          <w:rFonts w:hint="eastAsia" w:ascii="宋体" w:hAnsi="宋体" w:cs="仿宋_GB2312"/>
          <w:sz w:val="23"/>
          <w:szCs w:val="23"/>
          <w:u w:val="single"/>
        </w:rPr>
        <w:t xml:space="preserve">    </w:t>
      </w:r>
      <w:r>
        <w:rPr>
          <w:rFonts w:hint="eastAsia" w:ascii="宋体" w:hAnsi="宋体" w:cs="仿宋_GB2312"/>
          <w:sz w:val="23"/>
          <w:szCs w:val="23"/>
        </w:rPr>
        <w:t>年龄：</w:t>
      </w:r>
      <w:r>
        <w:rPr>
          <w:rFonts w:hint="eastAsia" w:ascii="宋体" w:hAnsi="宋体" w:cs="仿宋_GB2312"/>
          <w:sz w:val="23"/>
          <w:szCs w:val="23"/>
          <w:u w:val="single"/>
        </w:rPr>
        <w:t xml:space="preserve">      </w:t>
      </w:r>
      <w:r>
        <w:rPr>
          <w:rFonts w:hint="eastAsia" w:ascii="宋体" w:hAnsi="宋体" w:cs="仿宋_GB2312"/>
          <w:sz w:val="23"/>
          <w:szCs w:val="23"/>
        </w:rPr>
        <w:t>职务：</w:t>
      </w:r>
      <w:r>
        <w:rPr>
          <w:rFonts w:hint="eastAsia" w:ascii="宋体" w:hAnsi="宋体" w:cs="仿宋_GB2312"/>
          <w:sz w:val="23"/>
          <w:szCs w:val="23"/>
          <w:u w:val="single"/>
        </w:rPr>
        <w:t xml:space="preserve">          </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身份证号码：</w:t>
      </w:r>
      <w:r>
        <w:rPr>
          <w:rFonts w:hint="eastAsia" w:ascii="宋体" w:hAnsi="宋体" w:cs="仿宋_GB2312"/>
          <w:sz w:val="23"/>
          <w:szCs w:val="23"/>
          <w:u w:val="single"/>
        </w:rPr>
        <w:t xml:space="preserve">                                         </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手机：</w:t>
      </w:r>
      <w:r>
        <w:rPr>
          <w:rFonts w:hint="eastAsia" w:ascii="宋体" w:hAnsi="宋体" w:cs="仿宋_GB2312"/>
          <w:sz w:val="23"/>
          <w:szCs w:val="23"/>
          <w:u w:val="single"/>
        </w:rPr>
        <w:t xml:space="preserve">                 </w:t>
      </w:r>
      <w:r>
        <w:rPr>
          <w:rFonts w:hint="eastAsia" w:ascii="宋体" w:hAnsi="宋体" w:cs="仿宋_GB2312"/>
          <w:sz w:val="23"/>
          <w:szCs w:val="23"/>
        </w:rPr>
        <w:t>传真：</w:t>
      </w:r>
      <w:r>
        <w:rPr>
          <w:rFonts w:hint="eastAsia" w:ascii="宋体" w:hAnsi="宋体" w:cs="仿宋_GB2312"/>
          <w:sz w:val="23"/>
          <w:szCs w:val="23"/>
          <w:u w:val="single"/>
        </w:rPr>
        <w:t xml:space="preserve">                        </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 </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单位名称（公章）             法定代表人（签字）</w:t>
      </w: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 xml:space="preserve">年   月   日                 年   月    日  </w:t>
      </w:r>
    </w:p>
    <w:p>
      <w:pPr>
        <w:snapToGrid w:val="0"/>
        <w:spacing w:line="600" w:lineRule="exact"/>
        <w:ind w:firstLine="460" w:firstLineChars="200"/>
        <w:rPr>
          <w:rFonts w:ascii="宋体" w:hAnsi="宋体" w:cs="仿宋_GB2312"/>
          <w:sz w:val="23"/>
          <w:szCs w:val="23"/>
        </w:rPr>
      </w:pPr>
    </w:p>
    <w:p>
      <w:pPr>
        <w:snapToGrid w:val="0"/>
        <w:spacing w:line="600" w:lineRule="exact"/>
        <w:ind w:firstLine="460" w:firstLineChars="200"/>
        <w:rPr>
          <w:rFonts w:ascii="宋体" w:hAnsi="宋体" w:cs="仿宋_GB2312"/>
          <w:sz w:val="23"/>
          <w:szCs w:val="23"/>
        </w:rPr>
      </w:pPr>
      <w:r>
        <w:rPr>
          <w:rFonts w:hint="eastAsia" w:ascii="宋体" w:hAnsi="宋体" w:cs="仿宋_GB2312"/>
          <w:sz w:val="23"/>
          <w:szCs w:val="23"/>
        </w:rPr>
        <w:t>授权代表身份证复印件</w:t>
      </w:r>
    </w:p>
    <w:p>
      <w:pPr>
        <w:snapToGrid w:val="0"/>
        <w:spacing w:line="600" w:lineRule="exact"/>
        <w:ind w:firstLine="460" w:firstLineChars="200"/>
        <w:rPr>
          <w:rFonts w:ascii="宋体" w:hAnsi="宋体" w:cs="仿宋_GB2312"/>
          <w:sz w:val="23"/>
          <w:szCs w:val="23"/>
        </w:rPr>
      </w:pPr>
    </w:p>
    <w:p>
      <w:pPr>
        <w:snapToGrid w:val="0"/>
        <w:spacing w:line="600" w:lineRule="exact"/>
        <w:ind w:firstLine="460" w:firstLineChars="200"/>
        <w:jc w:val="center"/>
        <w:rPr>
          <w:rFonts w:ascii="宋体" w:hAnsi="宋体" w:cs="仿宋_GB2312"/>
          <w:sz w:val="23"/>
          <w:szCs w:val="23"/>
        </w:rPr>
      </w:pPr>
      <w:r>
        <w:rPr>
          <w:rFonts w:hint="eastAsia" w:ascii="宋体" w:hAnsi="宋体" w:cs="仿宋_GB2312"/>
          <w:sz w:val="23"/>
          <w:szCs w:val="23"/>
        </w:rPr>
        <w:t>（粘贴此处）</w:t>
      </w:r>
    </w:p>
    <w:p>
      <w:pPr>
        <w:snapToGrid w:val="0"/>
        <w:spacing w:line="600" w:lineRule="exact"/>
        <w:ind w:firstLine="460" w:firstLineChars="200"/>
        <w:jc w:val="center"/>
        <w:rPr>
          <w:rFonts w:ascii="宋体" w:hAnsi="宋体" w:cs="仿宋_GB2312"/>
          <w:sz w:val="23"/>
          <w:szCs w:val="23"/>
        </w:rPr>
      </w:pPr>
    </w:p>
    <w:p>
      <w:pPr>
        <w:snapToGrid w:val="0"/>
        <w:spacing w:line="600" w:lineRule="exact"/>
        <w:rPr>
          <w:rFonts w:ascii="宋体" w:hAnsi="宋体" w:cs="仿宋_GB2312"/>
          <w:b/>
          <w:bCs/>
          <w:sz w:val="23"/>
          <w:szCs w:val="23"/>
        </w:rPr>
      </w:pPr>
    </w:p>
    <w:p>
      <w:pPr>
        <w:snapToGrid w:val="0"/>
        <w:spacing w:line="600" w:lineRule="exact"/>
        <w:ind w:firstLine="115" w:firstLineChars="50"/>
        <w:rPr>
          <w:rFonts w:ascii="宋体" w:hAnsi="宋体" w:cs="仿宋_GB2312"/>
          <w:b/>
          <w:bCs/>
          <w:sz w:val="23"/>
          <w:szCs w:val="23"/>
        </w:rPr>
      </w:pPr>
      <w:r>
        <w:rPr>
          <w:rFonts w:hint="eastAsia" w:ascii="宋体" w:hAnsi="宋体" w:cs="仿宋_GB2312"/>
          <w:b/>
          <w:bCs/>
          <w:sz w:val="23"/>
          <w:szCs w:val="23"/>
        </w:rPr>
        <w:t>注:参加投标时被授权代表将身份证原件带至开标现场备查。</w:t>
      </w:r>
    </w:p>
    <w:p>
      <w:pPr>
        <w:spacing w:line="360" w:lineRule="auto"/>
        <w:ind w:firstLine="723" w:firstLineChars="200"/>
        <w:jc w:val="center"/>
        <w:rPr>
          <w:rFonts w:asciiTheme="majorEastAsia" w:hAnsiTheme="majorEastAsia" w:eastAsiaTheme="majorEastAsia" w:cstheme="minorBidi"/>
          <w:color w:val="000000" w:themeColor="text1"/>
          <w:sz w:val="24"/>
          <w:szCs w:val="24"/>
          <w:lang w:val="zh-CN"/>
        </w:rPr>
      </w:pPr>
      <w:r>
        <w:rPr>
          <w:rFonts w:hint="eastAsia" w:ascii="宋体" w:hAnsi="宋体" w:cs="仿宋_GB2312"/>
          <w:b/>
          <w:bCs/>
          <w:sz w:val="36"/>
          <w:szCs w:val="36"/>
        </w:rPr>
        <w:br w:type="page"/>
      </w:r>
      <w:bookmarkEnd w:id="175"/>
      <w:bookmarkEnd w:id="176"/>
      <w:bookmarkEnd w:id="177"/>
      <w:bookmarkEnd w:id="178"/>
      <w:bookmarkEnd w:id="179"/>
      <w:r>
        <w:rPr>
          <w:rFonts w:hint="eastAsia" w:ascii="宋体" w:hAnsi="宋体" w:cs="仿宋_GB2312"/>
          <w:b/>
          <w:bCs/>
          <w:sz w:val="30"/>
          <w:szCs w:val="30"/>
        </w:rPr>
        <w:t>3、</w:t>
      </w:r>
      <w:r>
        <w:rPr>
          <w:rFonts w:hint="eastAsia" w:asciiTheme="majorEastAsia" w:hAnsiTheme="majorEastAsia" w:eastAsiaTheme="majorEastAsia" w:cstheme="minorBidi"/>
          <w:b/>
          <w:bCs/>
          <w:color w:val="000000" w:themeColor="text1"/>
          <w:sz w:val="30"/>
          <w:szCs w:val="30"/>
          <w:lang w:val="zh-CN"/>
        </w:rPr>
        <w:t>无重大违法记录声明</w:t>
      </w:r>
    </w:p>
    <w:p>
      <w:pPr>
        <w:spacing w:line="360" w:lineRule="auto"/>
        <w:ind w:firstLine="480" w:firstLineChars="200"/>
        <w:rPr>
          <w:rFonts w:asciiTheme="majorEastAsia" w:hAnsiTheme="majorEastAsia" w:eastAsiaTheme="majorEastAsia" w:cstheme="minorBidi"/>
          <w:color w:val="000000" w:themeColor="text1"/>
          <w:sz w:val="24"/>
          <w:szCs w:val="24"/>
          <w:lang w:val="zh-CN"/>
        </w:rPr>
      </w:pPr>
    </w:p>
    <w:p>
      <w:pPr>
        <w:spacing w:line="360" w:lineRule="auto"/>
        <w:ind w:firstLine="480" w:firstLineChars="200"/>
        <w:rPr>
          <w:rFonts w:asciiTheme="majorEastAsia" w:hAnsiTheme="majorEastAsia" w:eastAsiaTheme="majorEastAsia" w:cstheme="minorBidi"/>
          <w:color w:val="000000" w:themeColor="text1"/>
          <w:sz w:val="24"/>
          <w:szCs w:val="24"/>
          <w:lang w:val="zh-CN"/>
        </w:rPr>
      </w:pPr>
    </w:p>
    <w:p>
      <w:pPr>
        <w:spacing w:line="360" w:lineRule="auto"/>
        <w:ind w:firstLine="480" w:firstLineChars="200"/>
        <w:rPr>
          <w:rFonts w:asciiTheme="majorEastAsia" w:hAnsiTheme="majorEastAsia" w:eastAsiaTheme="majorEastAsia" w:cstheme="minorBidi"/>
          <w:color w:val="000000" w:themeColor="text1"/>
          <w:sz w:val="24"/>
          <w:szCs w:val="24"/>
          <w:lang w:val="zh-CN"/>
        </w:rPr>
      </w:pPr>
      <w:r>
        <w:rPr>
          <w:rFonts w:hint="eastAsia" w:asciiTheme="majorEastAsia" w:hAnsiTheme="majorEastAsia" w:eastAsiaTheme="majorEastAsia" w:cstheme="minorBidi"/>
          <w:color w:val="000000" w:themeColor="text1"/>
          <w:sz w:val="24"/>
          <w:szCs w:val="24"/>
          <w:u w:val="single"/>
        </w:rPr>
        <w:t>南通农副产品物流有限公司</w:t>
      </w:r>
      <w:r>
        <w:rPr>
          <w:rFonts w:hint="eastAsia" w:asciiTheme="majorEastAsia" w:hAnsiTheme="majorEastAsia" w:eastAsiaTheme="majorEastAsia" w:cstheme="minorBidi"/>
          <w:color w:val="000000" w:themeColor="text1"/>
          <w:sz w:val="24"/>
          <w:szCs w:val="24"/>
          <w:lang w:val="zh-CN"/>
        </w:rPr>
        <w:t>：</w:t>
      </w:r>
    </w:p>
    <w:p>
      <w:pPr>
        <w:spacing w:line="360" w:lineRule="auto"/>
        <w:ind w:firstLine="480" w:firstLineChars="200"/>
        <w:rPr>
          <w:rFonts w:asciiTheme="majorEastAsia" w:hAnsiTheme="majorEastAsia" w:eastAsiaTheme="majorEastAsia" w:cstheme="minorBidi"/>
          <w:color w:val="000000" w:themeColor="text1"/>
          <w:sz w:val="24"/>
          <w:szCs w:val="24"/>
          <w:lang w:val="zh-CN"/>
        </w:rPr>
      </w:pPr>
      <w:r>
        <w:rPr>
          <w:rFonts w:hint="eastAsia" w:asciiTheme="majorEastAsia" w:hAnsiTheme="majorEastAsia" w:eastAsiaTheme="majorEastAsia" w:cstheme="minorBidi"/>
          <w:color w:val="000000" w:themeColor="text1"/>
          <w:sz w:val="24"/>
          <w:szCs w:val="24"/>
          <w:lang w:val="zh-CN"/>
        </w:rPr>
        <w:t xml:space="preserve">    我单位</w:t>
      </w:r>
      <w:r>
        <w:rPr>
          <w:rFonts w:hint="eastAsia" w:asciiTheme="majorEastAsia" w:hAnsiTheme="majorEastAsia" w:eastAsiaTheme="majorEastAsia" w:cstheme="minorBidi"/>
          <w:color w:val="000000" w:themeColor="text1"/>
          <w:sz w:val="24"/>
          <w:szCs w:val="24"/>
          <w:u w:val="single"/>
          <w:lang w:val="zh-CN"/>
        </w:rPr>
        <w:t xml:space="preserve">                                       </w:t>
      </w:r>
      <w:r>
        <w:rPr>
          <w:rFonts w:hint="eastAsia" w:asciiTheme="majorEastAsia" w:hAnsiTheme="majorEastAsia" w:eastAsiaTheme="majorEastAsia" w:cstheme="minorBidi"/>
          <w:color w:val="000000" w:themeColor="text1"/>
          <w:sz w:val="24"/>
          <w:szCs w:val="24"/>
          <w:lang w:val="zh-CN"/>
        </w:rPr>
        <w:t>（供应商名称）郑重声明：</w:t>
      </w:r>
    </w:p>
    <w:p>
      <w:pPr>
        <w:spacing w:line="360" w:lineRule="auto"/>
        <w:ind w:firstLine="480" w:firstLineChars="200"/>
        <w:rPr>
          <w:rFonts w:asciiTheme="majorEastAsia" w:hAnsiTheme="majorEastAsia" w:eastAsiaTheme="majorEastAsia" w:cstheme="minorBidi"/>
          <w:color w:val="000000" w:themeColor="text1"/>
          <w:sz w:val="24"/>
          <w:szCs w:val="24"/>
          <w:lang w:val="zh-CN"/>
        </w:rPr>
      </w:pPr>
      <w:r>
        <w:rPr>
          <w:rFonts w:hint="eastAsia" w:asciiTheme="majorEastAsia" w:hAnsiTheme="majorEastAsia" w:eastAsiaTheme="majorEastAsia" w:cstheme="minorBidi"/>
          <w:color w:val="000000" w:themeColor="text1"/>
          <w:sz w:val="24"/>
          <w:szCs w:val="24"/>
          <w:lang w:val="zh-CN"/>
        </w:rPr>
        <w:t xml:space="preserve">    参加采购活动前3年内在经营活动中 </w:t>
      </w:r>
      <w:r>
        <w:rPr>
          <w:rFonts w:hint="eastAsia" w:asciiTheme="majorEastAsia" w:hAnsiTheme="majorEastAsia" w:eastAsiaTheme="majorEastAsia" w:cstheme="minorBidi"/>
          <w:color w:val="000000" w:themeColor="text1"/>
          <w:sz w:val="24"/>
          <w:szCs w:val="24"/>
          <w:u w:val="single"/>
          <w:lang w:val="zh-CN"/>
        </w:rPr>
        <w:t xml:space="preserve">       </w:t>
      </w:r>
      <w:r>
        <w:rPr>
          <w:rFonts w:hint="eastAsia" w:asciiTheme="majorEastAsia" w:hAnsiTheme="majorEastAsia" w:eastAsiaTheme="majorEastAsia" w:cstheme="minorBidi"/>
          <w:color w:val="000000" w:themeColor="text1"/>
          <w:sz w:val="24"/>
          <w:szCs w:val="24"/>
          <w:lang w:val="zh-CN"/>
        </w:rPr>
        <w:t>（在下划线上如实填写：有或没有）重大违法记录。</w:t>
      </w:r>
    </w:p>
    <w:p>
      <w:pPr>
        <w:spacing w:line="360" w:lineRule="auto"/>
        <w:ind w:firstLine="480" w:firstLineChars="200"/>
        <w:rPr>
          <w:rFonts w:asciiTheme="majorEastAsia" w:hAnsiTheme="majorEastAsia" w:eastAsiaTheme="majorEastAsia" w:cstheme="minorBidi"/>
          <w:color w:val="000000" w:themeColor="text1"/>
          <w:sz w:val="24"/>
          <w:szCs w:val="24"/>
          <w:lang w:val="zh-CN"/>
        </w:rPr>
      </w:pPr>
      <w:r>
        <w:rPr>
          <w:rFonts w:hint="eastAsia" w:asciiTheme="majorEastAsia" w:hAnsiTheme="majorEastAsia" w:eastAsiaTheme="majorEastAsia" w:cstheme="minorBidi"/>
          <w:color w:val="000000" w:themeColor="text1"/>
          <w:sz w:val="24"/>
          <w:szCs w:val="24"/>
          <w:lang w:val="zh-CN"/>
        </w:rPr>
        <w:t>（说明：政府采购法第二十二条第一款第五项所称重大违法记录，是指供应商因违法经营受到刑事处罚或者责令停产停业、吊销许可证或者执照、较大数额罚款等行政处罚。）</w:t>
      </w:r>
    </w:p>
    <w:p>
      <w:pPr>
        <w:spacing w:line="360" w:lineRule="auto"/>
        <w:ind w:firstLine="480" w:firstLineChars="200"/>
        <w:rPr>
          <w:rFonts w:asciiTheme="majorEastAsia" w:hAnsiTheme="majorEastAsia" w:eastAsiaTheme="majorEastAsia" w:cstheme="minorBidi"/>
          <w:color w:val="000000" w:themeColor="text1"/>
          <w:sz w:val="24"/>
          <w:szCs w:val="24"/>
          <w:lang w:val="zh-CN"/>
        </w:rPr>
      </w:pPr>
      <w:r>
        <w:rPr>
          <w:rFonts w:hint="eastAsia" w:asciiTheme="majorEastAsia" w:hAnsiTheme="majorEastAsia" w:eastAsiaTheme="majorEastAsia" w:cstheme="minorBidi"/>
          <w:color w:val="000000" w:themeColor="text1"/>
          <w:sz w:val="24"/>
          <w:szCs w:val="24"/>
          <w:lang w:val="zh-CN"/>
        </w:rPr>
        <w:t xml:space="preserve">                                                        声明人：（公章）</w:t>
      </w:r>
    </w:p>
    <w:p>
      <w:pPr>
        <w:spacing w:line="360" w:lineRule="auto"/>
        <w:ind w:firstLine="480" w:firstLineChars="200"/>
        <w:rPr>
          <w:rFonts w:asciiTheme="majorEastAsia" w:hAnsiTheme="majorEastAsia" w:eastAsiaTheme="majorEastAsia" w:cstheme="minorBidi"/>
          <w:color w:val="000000" w:themeColor="text1"/>
          <w:sz w:val="24"/>
          <w:szCs w:val="24"/>
          <w:lang w:val="zh-CN"/>
        </w:rPr>
      </w:pPr>
      <w:r>
        <w:rPr>
          <w:rFonts w:hint="eastAsia" w:asciiTheme="majorEastAsia" w:hAnsiTheme="majorEastAsia" w:eastAsiaTheme="majorEastAsia" w:cstheme="minorBidi"/>
          <w:color w:val="000000" w:themeColor="text1"/>
          <w:sz w:val="24"/>
          <w:szCs w:val="24"/>
          <w:lang w:val="zh-CN"/>
        </w:rPr>
        <w:t xml:space="preserve">                                                   年     月    日</w:t>
      </w: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jc w:val="center"/>
        <w:rPr>
          <w:rFonts w:ascii="黑体" w:hAnsi="宋体"/>
          <w:sz w:val="28"/>
          <w:szCs w:val="24"/>
        </w:rPr>
      </w:pPr>
    </w:p>
    <w:p>
      <w:pPr>
        <w:tabs>
          <w:tab w:val="left" w:pos="2070"/>
          <w:tab w:val="center" w:pos="4431"/>
        </w:tabs>
        <w:spacing w:line="360" w:lineRule="auto"/>
        <w:ind w:right="480"/>
        <w:jc w:val="center"/>
        <w:rPr>
          <w:rFonts w:ascii="宋体" w:hAnsi="宋体"/>
          <w:b/>
        </w:rPr>
      </w:pPr>
      <w:r>
        <w:rPr>
          <w:rFonts w:hint="eastAsia" w:ascii="宋体" w:hAnsi="宋体" w:cs="宋体"/>
          <w:sz w:val="32"/>
          <w:szCs w:val="32"/>
        </w:rPr>
        <w:t xml:space="preserve">  </w:t>
      </w:r>
      <w:r>
        <w:rPr>
          <w:rFonts w:hint="eastAsia" w:ascii="宋体" w:hAnsi="宋体"/>
          <w:b/>
          <w:sz w:val="32"/>
          <w:szCs w:val="32"/>
        </w:rPr>
        <w:t xml:space="preserve">  4、</w:t>
      </w:r>
      <w:r>
        <w:rPr>
          <w:rFonts w:hint="eastAsia" w:ascii="宋体" w:hAnsi="宋体"/>
          <w:b/>
          <w:sz w:val="30"/>
          <w:szCs w:val="30"/>
        </w:rPr>
        <w:t>投标报价函</w:t>
      </w:r>
    </w:p>
    <w:p>
      <w:pPr>
        <w:pStyle w:val="119"/>
        <w:spacing w:line="360" w:lineRule="auto"/>
        <w:rPr>
          <w:rFonts w:hAnsi="宋体" w:cs="宋体"/>
          <w:sz w:val="21"/>
          <w:szCs w:val="21"/>
        </w:rPr>
      </w:pPr>
      <w:r>
        <w:rPr>
          <w:rFonts w:hint="eastAsia" w:hAnsi="宋体" w:cs="宋体"/>
          <w:sz w:val="21"/>
          <w:szCs w:val="21"/>
          <w:u w:val="single"/>
        </w:rPr>
        <w:t xml:space="preserve">  </w:t>
      </w:r>
      <w:r>
        <w:rPr>
          <w:rFonts w:hint="eastAsia" w:hAnsi="宋体" w:cs="宋体"/>
          <w:iCs/>
          <w:sz w:val="21"/>
          <w:szCs w:val="21"/>
          <w:u w:val="single"/>
        </w:rPr>
        <w:t>（采购人）</w:t>
      </w:r>
      <w:r>
        <w:rPr>
          <w:rFonts w:hint="eastAsia" w:hAnsi="宋体" w:cs="宋体"/>
          <w:sz w:val="21"/>
          <w:szCs w:val="21"/>
          <w:u w:val="single"/>
        </w:rPr>
        <w:t xml:space="preserve">   </w:t>
      </w:r>
      <w:r>
        <w:rPr>
          <w:rFonts w:hint="eastAsia" w:hAnsi="宋体" w:cs="宋体"/>
          <w:sz w:val="21"/>
          <w:szCs w:val="21"/>
        </w:rPr>
        <w:t>：</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依据贵单位</w:t>
      </w:r>
      <w:r>
        <w:rPr>
          <w:rFonts w:hint="eastAsia" w:ascii="宋体" w:hAnsi="宋体" w:cs="仿宋_GB2312"/>
          <w:sz w:val="23"/>
          <w:szCs w:val="23"/>
          <w:u w:val="single"/>
        </w:rPr>
        <w:t xml:space="preserve">               </w:t>
      </w:r>
      <w:r>
        <w:rPr>
          <w:rFonts w:hint="eastAsia" w:ascii="宋体" w:hAnsi="宋体" w:cs="仿宋_GB2312"/>
          <w:sz w:val="23"/>
          <w:szCs w:val="23"/>
        </w:rPr>
        <w:t>（采购项目名称)项目公开招标采购的邀请，我方授权</w:t>
      </w:r>
      <w:r>
        <w:rPr>
          <w:rFonts w:hint="eastAsia" w:ascii="宋体" w:hAnsi="宋体" w:cs="仿宋_GB2312"/>
          <w:sz w:val="23"/>
          <w:szCs w:val="23"/>
          <w:u w:val="single"/>
        </w:rPr>
        <w:t xml:space="preserve">    </w:t>
      </w:r>
      <w:r>
        <w:rPr>
          <w:rFonts w:hint="eastAsia" w:ascii="宋体" w:hAnsi="宋体" w:cs="仿宋_GB2312"/>
          <w:sz w:val="23"/>
          <w:szCs w:val="23"/>
        </w:rPr>
        <w:t>（姓名）</w:t>
      </w:r>
      <w:r>
        <w:rPr>
          <w:rFonts w:hint="eastAsia" w:ascii="宋体" w:hAnsi="宋体" w:cs="仿宋_GB2312"/>
          <w:sz w:val="23"/>
          <w:szCs w:val="23"/>
          <w:u w:val="single"/>
        </w:rPr>
        <w:t xml:space="preserve">    </w:t>
      </w:r>
      <w:r>
        <w:rPr>
          <w:rFonts w:hint="eastAsia" w:ascii="宋体" w:hAnsi="宋体" w:cs="仿宋_GB2312"/>
          <w:sz w:val="23"/>
          <w:szCs w:val="23"/>
        </w:rPr>
        <w:t>（职务）</w:t>
      </w:r>
      <w:r>
        <w:rPr>
          <w:rFonts w:hint="eastAsia" w:ascii="宋体" w:hAnsi="宋体" w:cs="仿宋_GB2312"/>
          <w:sz w:val="23"/>
          <w:szCs w:val="23"/>
          <w:u w:val="single"/>
        </w:rPr>
        <w:t xml:space="preserve">    </w:t>
      </w:r>
      <w:r>
        <w:rPr>
          <w:rFonts w:hint="eastAsia" w:ascii="宋体" w:hAnsi="宋体" w:cs="仿宋_GB2312"/>
          <w:sz w:val="23"/>
          <w:szCs w:val="23"/>
        </w:rPr>
        <w:t>为全权代表参加该项目的投标，全权处理本次采购的有关事宜。同时，我公司声明如下：</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1、我方愿以人民币（大写）</w:t>
      </w:r>
      <w:r>
        <w:rPr>
          <w:rFonts w:hint="eastAsia" w:ascii="宋体" w:hAnsi="宋体" w:cs="仿宋_GB2312"/>
          <w:sz w:val="23"/>
          <w:szCs w:val="23"/>
          <w:u w:val="single"/>
        </w:rPr>
        <w:t xml:space="preserve">             </w:t>
      </w:r>
      <w:r>
        <w:rPr>
          <w:rFonts w:ascii="宋体" w:hAnsi="宋体" w:cs="仿宋_GB2312"/>
          <w:sz w:val="23"/>
          <w:szCs w:val="23"/>
        </w:rPr>
        <w:t>(</w:t>
      </w:r>
      <w:r>
        <w:rPr>
          <w:rFonts w:hint="eastAsia" w:ascii="宋体" w:hAnsi="宋体" w:cs="仿宋_GB2312"/>
          <w:sz w:val="23"/>
          <w:szCs w:val="23"/>
        </w:rPr>
        <w:t>小写￥</w:t>
      </w:r>
      <w:r>
        <w:rPr>
          <w:rFonts w:hint="eastAsia" w:ascii="宋体" w:hAnsi="宋体" w:cs="仿宋_GB2312"/>
          <w:sz w:val="23"/>
          <w:szCs w:val="23"/>
          <w:u w:val="single"/>
        </w:rPr>
        <w:t xml:space="preserve">         </w:t>
      </w:r>
      <w:r>
        <w:rPr>
          <w:rFonts w:ascii="宋体" w:hAnsi="宋体" w:cs="仿宋_GB2312"/>
          <w:sz w:val="23"/>
          <w:szCs w:val="23"/>
        </w:rPr>
        <w:t>)</w:t>
      </w:r>
      <w:r>
        <w:rPr>
          <w:rFonts w:hint="eastAsia" w:ascii="宋体" w:hAnsi="宋体" w:cs="仿宋_GB2312"/>
          <w:sz w:val="23"/>
          <w:szCs w:val="23"/>
        </w:rPr>
        <w:t>的总价，遵照招标文件的要求，承担本招标文件的维保工作。同意并接受招标文件的各项要求，遵守招标文件中的各项规定，我方报价满足招标文件的所有要求。</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2、我公司已经详细阅读了全部招标文件及其附件，我方已完全清晰理解招标文件的要求，不存在任何含糊不清和误解之处，同意放弃对这些文件所提出的异议和质疑的权利。</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3、我公司已毫无保留地向贵方提供一切所需的证明材料。</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4、我公司承诺在本次投标文件中提供的一切文件，无论是原件还是复印件均真实有效，绝无任何虚假、伪造和夸大的成份。否则，愿承担相应的后果和法律责任。</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5、我公司尊重评标小组所作的评定结果，同时清楚理解到报价最低并非意味着必定获得成交资格。</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6、一旦我方成交,我方承诺将根据项目维保要求与总包方签订合作协议书。</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7、一旦我方成交, 我方承诺在施工过程中，遵守采购人、监理方的管理、负责配合好各相关单位完成施工。</w:t>
      </w:r>
    </w:p>
    <w:p>
      <w:pPr>
        <w:snapToGrid w:val="0"/>
        <w:spacing w:line="500" w:lineRule="exact"/>
        <w:ind w:firstLine="460" w:firstLineChars="200"/>
        <w:rPr>
          <w:rFonts w:ascii="宋体" w:hAnsi="宋体" w:cs="仿宋_GB2312"/>
          <w:sz w:val="23"/>
          <w:szCs w:val="23"/>
        </w:rPr>
      </w:pPr>
      <w:r>
        <w:rPr>
          <w:rFonts w:hint="eastAsia" w:ascii="宋体" w:hAnsi="宋体" w:cs="仿宋_GB2312"/>
          <w:sz w:val="23"/>
          <w:szCs w:val="23"/>
        </w:rPr>
        <w:t>8、一旦我方成交,我方将根据采购文件的规定，严格履行合同的责任和义务,并保证在采购文件规定的时间完成项目，交付采购人验收、使用。</w:t>
      </w:r>
    </w:p>
    <w:p>
      <w:pPr>
        <w:snapToGrid w:val="0"/>
        <w:spacing w:line="500" w:lineRule="exact"/>
        <w:ind w:firstLine="1380" w:firstLineChars="600"/>
        <w:rPr>
          <w:rFonts w:ascii="宋体" w:hAnsi="宋体" w:cs="仿宋_GB2312"/>
          <w:sz w:val="23"/>
          <w:szCs w:val="23"/>
        </w:rPr>
      </w:pPr>
    </w:p>
    <w:p>
      <w:pPr>
        <w:snapToGrid w:val="0"/>
        <w:spacing w:line="500" w:lineRule="exact"/>
        <w:ind w:firstLine="1380" w:firstLineChars="600"/>
        <w:rPr>
          <w:rFonts w:ascii="宋体" w:hAnsi="宋体" w:cs="仿宋_GB2312"/>
          <w:sz w:val="23"/>
          <w:szCs w:val="23"/>
        </w:rPr>
      </w:pPr>
      <w:r>
        <w:rPr>
          <w:rFonts w:hint="eastAsia" w:ascii="宋体" w:hAnsi="宋体" w:cs="仿宋_GB2312"/>
          <w:sz w:val="23"/>
          <w:szCs w:val="23"/>
        </w:rPr>
        <w:t>供应商：</w:t>
      </w:r>
      <w:r>
        <w:rPr>
          <w:rFonts w:hint="eastAsia" w:ascii="宋体" w:hAnsi="宋体" w:cs="仿宋_GB2312"/>
          <w:sz w:val="23"/>
          <w:szCs w:val="23"/>
          <w:u w:val="single"/>
        </w:rPr>
        <w:t xml:space="preserve">                    </w:t>
      </w:r>
      <w:r>
        <w:rPr>
          <w:rFonts w:hint="eastAsia" w:ascii="宋体" w:hAnsi="宋体" w:cs="仿宋_GB2312"/>
          <w:sz w:val="23"/>
          <w:szCs w:val="23"/>
        </w:rPr>
        <w:t>（加盖公章）</w:t>
      </w:r>
    </w:p>
    <w:p>
      <w:pPr>
        <w:snapToGrid w:val="0"/>
        <w:spacing w:line="500" w:lineRule="exact"/>
        <w:ind w:firstLine="1380" w:firstLineChars="600"/>
        <w:rPr>
          <w:rFonts w:ascii="宋体" w:hAnsi="宋体" w:cs="仿宋_GB2312"/>
          <w:sz w:val="23"/>
          <w:szCs w:val="23"/>
        </w:rPr>
      </w:pPr>
    </w:p>
    <w:p>
      <w:pPr>
        <w:snapToGrid w:val="0"/>
        <w:spacing w:line="500" w:lineRule="exact"/>
        <w:ind w:firstLine="1380" w:firstLineChars="600"/>
        <w:rPr>
          <w:rFonts w:ascii="宋体" w:hAnsi="宋体" w:cs="仿宋_GB2312"/>
          <w:sz w:val="23"/>
          <w:szCs w:val="23"/>
        </w:rPr>
      </w:pPr>
      <w:r>
        <w:rPr>
          <w:rFonts w:hint="eastAsia" w:ascii="宋体" w:hAnsi="宋体" w:cs="仿宋_GB2312"/>
          <w:sz w:val="23"/>
          <w:szCs w:val="23"/>
        </w:rPr>
        <w:t>法定代表人或其授权人：</w:t>
      </w:r>
      <w:r>
        <w:rPr>
          <w:rFonts w:hint="eastAsia" w:ascii="宋体" w:hAnsi="宋体" w:cs="仿宋_GB2312"/>
          <w:sz w:val="23"/>
          <w:szCs w:val="23"/>
          <w:u w:val="single"/>
        </w:rPr>
        <w:t xml:space="preserve">            </w:t>
      </w:r>
      <w:r>
        <w:rPr>
          <w:rFonts w:hint="eastAsia" w:ascii="宋体" w:hAnsi="宋体" w:cs="仿宋_GB2312"/>
          <w:sz w:val="23"/>
          <w:szCs w:val="23"/>
        </w:rPr>
        <w:t>（签字或盖章）</w:t>
      </w:r>
    </w:p>
    <w:p>
      <w:pPr>
        <w:snapToGrid w:val="0"/>
        <w:spacing w:line="500" w:lineRule="exact"/>
        <w:ind w:firstLine="4370" w:firstLineChars="1900"/>
        <w:rPr>
          <w:rFonts w:ascii="宋体" w:hAnsi="宋体" w:cs="仿宋_GB2312"/>
          <w:sz w:val="23"/>
          <w:szCs w:val="23"/>
        </w:rPr>
      </w:pPr>
      <w:r>
        <w:rPr>
          <w:rFonts w:hint="eastAsia" w:ascii="宋体" w:hAnsi="宋体" w:cs="仿宋_GB2312"/>
          <w:sz w:val="23"/>
          <w:szCs w:val="23"/>
        </w:rPr>
        <w:t xml:space="preserve">  年  月  日</w:t>
      </w:r>
    </w:p>
    <w:p>
      <w:pPr>
        <w:autoSpaceDE w:val="0"/>
        <w:autoSpaceDN w:val="0"/>
        <w:adjustRightInd w:val="0"/>
        <w:spacing w:line="360" w:lineRule="auto"/>
        <w:jc w:val="center"/>
        <w:rPr>
          <w:rFonts w:ascii="宋体" w:hAnsi="宋体" w:cs="仿宋_GB2312"/>
          <w:b/>
          <w:bCs/>
          <w:sz w:val="30"/>
          <w:szCs w:val="30"/>
        </w:rPr>
      </w:pPr>
    </w:p>
    <w:bookmarkEnd w:id="163"/>
    <w:bookmarkEnd w:id="164"/>
    <w:bookmarkEnd w:id="180"/>
    <w:bookmarkEnd w:id="181"/>
    <w:bookmarkEnd w:id="182"/>
    <w:p>
      <w:pPr>
        <w:spacing w:line="360" w:lineRule="auto"/>
        <w:jc w:val="center"/>
        <w:rPr>
          <w:rFonts w:ascii="宋体" w:hAnsi="宋体" w:cs="宋体"/>
          <w:b/>
          <w:sz w:val="30"/>
          <w:szCs w:val="30"/>
        </w:rPr>
      </w:pPr>
    </w:p>
    <w:p>
      <w:pPr>
        <w:spacing w:line="360" w:lineRule="auto"/>
        <w:jc w:val="center"/>
        <w:rPr>
          <w:rFonts w:ascii="宋体" w:hAnsi="宋体" w:cs="宋体"/>
          <w:b/>
          <w:sz w:val="30"/>
          <w:szCs w:val="30"/>
        </w:rPr>
      </w:pPr>
      <w:r>
        <w:rPr>
          <w:rFonts w:hint="eastAsia" w:ascii="宋体" w:hAnsi="宋体" w:cs="宋体"/>
          <w:b/>
          <w:sz w:val="30"/>
          <w:szCs w:val="30"/>
        </w:rPr>
        <w:t>5、报价明细（格式自拟）</w:t>
      </w:r>
    </w:p>
    <w:sectPr>
      <w:footerReference r:id="rId10" w:type="first"/>
      <w:footerReference r:id="rId9" w:type="default"/>
      <w:pgSz w:w="11906" w:h="16838"/>
      <w:pgMar w:top="1418" w:right="1418" w:bottom="1418" w:left="1418" w:header="851" w:footer="907" w:gutter="0"/>
      <w:cols w:space="720" w:num="1"/>
      <w:titlePg/>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1IeT&#10;1rUBAABcAwAADgAAAAAAAAABACAAAAAeAQAAZHJzL2Uyb0RvYy54bWxQSwUGAAAAAAYABgBZAQAA&#10;RQUAAAAA&#10;">
          <v:path/>
          <v:fill on="f" focussize="0,0"/>
          <v:stroke on="f" joinstyle="miter"/>
          <v:imagedata o:title=""/>
          <o:lock v:ext="edit"/>
          <v:textbox inset="0mm,0mm,0mm,0mm" style="mso-fit-shape-to-text:t;">
            <w:txbxContent>
              <w:p>
                <w:pPr>
                  <w:pStyle w:val="29"/>
                </w:pPr>
                <w:r>
                  <w:fldChar w:fldCharType="begin"/>
                </w:r>
                <w:r>
                  <w:instrText xml:space="preserve"> PAGE  \* MERGEFORMAT </w:instrText>
                </w:r>
                <w:r>
                  <w:fldChar w:fldCharType="separate"/>
                </w:r>
                <w:r>
                  <w:t>29</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rPr>
      <w:t>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文本框 1026"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6pebnPAAAA&#10;BQEAAA8AAAAAAAAAAQAgAAAAIgAAAGRycy9kb3ducmV2LnhtbFBLAQIUABQAAAAIAIdO4kD50QQL&#10;tAEAAFwDAAAOAAAAAAAAAAEAIAAAAB4BAABkcnMvZTJvRG9jLnhtbFBLBQYAAAAABgAGAFkBAABE&#10;BQAAAAA=&#10;">
          <v:path/>
          <v:fill on="f" focussize="0,0"/>
          <v:stroke on="f" joinstyle="miter"/>
          <v:imagedata o:title=""/>
          <o:lock v:ext="edit"/>
          <v:textbox inset="0mm,0mm,0mm,0mm" style="mso-fit-shape-to-text:t;">
            <w:txbxContent>
              <w:p>
                <w:pPr>
                  <w:pStyle w:val="29"/>
                  <w:jc w:val="center"/>
                </w:pPr>
                <w:r>
                  <w:fldChar w:fldCharType="begin"/>
                </w:r>
                <w:r>
                  <w:instrText xml:space="preserve">PAGE   \* MERGEFORMAT</w:instrText>
                </w:r>
                <w:r>
                  <w:fldChar w:fldCharType="separate"/>
                </w:r>
                <w:r>
                  <w:rPr>
                    <w:lang w:val="zh-CN"/>
                  </w:rPr>
                  <w:t>32</w:t>
                </w:r>
                <w:r>
                  <w:rPr>
                    <w:lang w:val="zh-CN"/>
                  </w:rPr>
                  <w:fldChar w:fldCharType="end"/>
                </w:r>
              </w:p>
            </w:txbxContent>
          </v:textbox>
        </v:shape>
      </w:pict>
    </w:r>
  </w:p>
  <w:p>
    <w:pPr>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ind w:firstLine="360"/>
      <w:rPr>
        <w:rStyle w:val="50"/>
      </w:rPr>
    </w:pPr>
    <w:r>
      <w:fldChar w:fldCharType="begin"/>
    </w:r>
    <w:r>
      <w:rPr>
        <w:rStyle w:val="50"/>
      </w:rPr>
      <w:instrText xml:space="preserve">PAGE  </w:instrText>
    </w:r>
    <w:r>
      <w:fldChar w:fldCharType="separate"/>
    </w:r>
    <w:r>
      <w:rPr>
        <w:rStyle w:val="50"/>
      </w:rPr>
      <w:t>1</w:t>
    </w:r>
    <w:r>
      <w:fldChar w:fldCharType="end"/>
    </w:r>
  </w:p>
  <w:p>
    <w:pPr>
      <w:pStyle w:val="29"/>
      <w:ind w:firstLine="360"/>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_x0000_s1029" o:spid="_x0000_s102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29"/>
                </w:pPr>
                <w:r>
                  <w:fldChar w:fldCharType="begin"/>
                </w:r>
                <w:r>
                  <w:instrText xml:space="preserve"> PAGE  \* MERGEFORMAT </w:instrText>
                </w:r>
                <w:r>
                  <w:fldChar w:fldCharType="separate"/>
                </w:r>
                <w:r>
                  <w:t>30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1030" o:spid="_x0000_s1030"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6pebnPAAAA&#10;BQEAAA8AAAAAAAAAAQAgAAAAIgAAAGRycy9kb3ducmV2LnhtbFBLAQIUABQAAAAIAIdO4kD50QQL&#10;tAEAAFwDAAAOAAAAAAAAAAEAIAAAAB4BAABkcnMvZTJvRG9jLnhtbFBLBQYAAAAABgAGAFkBAABE&#10;BQAAAAA=&#10;">
          <v:path/>
          <v:fill on="f" focussize="0,0"/>
          <v:stroke on="f" joinstyle="miter"/>
          <v:imagedata o:title=""/>
          <o:lock v:ext="edit"/>
          <v:textbox inset="0mm,0mm,0mm,0mm" style="mso-fit-shape-to-text:t;">
            <w:txbxContent>
              <w:p>
                <w:pPr>
                  <w:pStyle w:val="29"/>
                  <w:jc w:val="center"/>
                </w:pPr>
                <w:r>
                  <w:fldChar w:fldCharType="begin"/>
                </w:r>
                <w:r>
                  <w:instrText xml:space="preserve">PAGE   \* MERGEFORMAT</w:instrText>
                </w:r>
                <w:r>
                  <w:fldChar w:fldCharType="separate"/>
                </w:r>
                <w:r>
                  <w:rPr>
                    <w:lang w:val="zh-CN"/>
                  </w:rPr>
                  <w:t>43</w:t>
                </w:r>
                <w:r>
                  <w:rPr>
                    <w:lang w:val="zh-CN"/>
                  </w:rPr>
                  <w:fldChar w:fldCharType="end"/>
                </w:r>
              </w:p>
            </w:txbxContent>
          </v:textbox>
        </v:shape>
      </w:pict>
    </w:r>
  </w:p>
  <w:p>
    <w:pPr>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pict>
        <v:shape id="_x0000_s1032" o:spid="_x0000_s1032"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pPr>
                  <w:pStyle w:val="29"/>
                </w:pPr>
                <w:r>
                  <w:fldChar w:fldCharType="begin"/>
                </w:r>
                <w:r>
                  <w:instrText xml:space="preserve"> PAGE  \* MERGEFORMAT </w:instrText>
                </w:r>
                <w:r>
                  <w:fldChar w:fldCharType="separate"/>
                </w:r>
                <w:r>
                  <w:t>33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ind w:firstLine="360"/>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4BE50B"/>
    <w:multiLevelType w:val="singleLevel"/>
    <w:tmpl w:val="814BE50B"/>
    <w:lvl w:ilvl="0" w:tentative="0">
      <w:start w:val="2"/>
      <w:numFmt w:val="chineseCounting"/>
      <w:suff w:val="nothing"/>
      <w:lvlText w:val="%1、"/>
      <w:lvlJc w:val="left"/>
      <w:rPr>
        <w:rFonts w:hint="eastAsia"/>
      </w:rPr>
    </w:lvl>
  </w:abstractNum>
  <w:abstractNum w:abstractNumId="1">
    <w:nsid w:val="5A4EE3EC"/>
    <w:multiLevelType w:val="singleLevel"/>
    <w:tmpl w:val="5A4EE3EC"/>
    <w:lvl w:ilvl="0" w:tentative="0">
      <w:start w:val="2"/>
      <w:numFmt w:val="chineseCounting"/>
      <w:suff w:val="nothing"/>
      <w:lvlText w:val="（%1）"/>
      <w:lvlJc w:val="left"/>
    </w:lvl>
  </w:abstractNum>
  <w:abstractNum w:abstractNumId="2">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12"/>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62A77260"/>
    <w:multiLevelType w:val="multilevel"/>
    <w:tmpl w:val="62A7726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B2FBDE6"/>
    <w:multiLevelType w:val="singleLevel"/>
    <w:tmpl w:val="6B2FBDE6"/>
    <w:lvl w:ilvl="0" w:tentative="0">
      <w:start w:val="2"/>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attachedTemplate r:id="rId1"/>
  <w:documentProtection w:enforcement="0"/>
  <w:defaultTabStop w:val="425"/>
  <w:drawingGridHorizontalSpacing w:val="105"/>
  <w:drawingGridVerticalSpacing w:val="145"/>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2"/>
  </w:compat>
  <w:rsids>
    <w:rsidRoot w:val="00822AF1"/>
    <w:rsid w:val="00000F16"/>
    <w:rsid w:val="000021F1"/>
    <w:rsid w:val="00003096"/>
    <w:rsid w:val="00003395"/>
    <w:rsid w:val="00005139"/>
    <w:rsid w:val="00005A85"/>
    <w:rsid w:val="00005B6D"/>
    <w:rsid w:val="000060F7"/>
    <w:rsid w:val="000065F6"/>
    <w:rsid w:val="00006B61"/>
    <w:rsid w:val="00006BCB"/>
    <w:rsid w:val="000075E1"/>
    <w:rsid w:val="000108D5"/>
    <w:rsid w:val="00012B1C"/>
    <w:rsid w:val="00013711"/>
    <w:rsid w:val="00014861"/>
    <w:rsid w:val="00015877"/>
    <w:rsid w:val="0001609A"/>
    <w:rsid w:val="00016776"/>
    <w:rsid w:val="00020C65"/>
    <w:rsid w:val="00020CA2"/>
    <w:rsid w:val="00020EE5"/>
    <w:rsid w:val="00020FB2"/>
    <w:rsid w:val="00021067"/>
    <w:rsid w:val="000218F7"/>
    <w:rsid w:val="00021BC0"/>
    <w:rsid w:val="00022EA6"/>
    <w:rsid w:val="00023634"/>
    <w:rsid w:val="00023FC6"/>
    <w:rsid w:val="000242A5"/>
    <w:rsid w:val="00024B03"/>
    <w:rsid w:val="00024E29"/>
    <w:rsid w:val="00026BBB"/>
    <w:rsid w:val="000270C3"/>
    <w:rsid w:val="000276E8"/>
    <w:rsid w:val="00027F43"/>
    <w:rsid w:val="00030CA0"/>
    <w:rsid w:val="00031E43"/>
    <w:rsid w:val="00032F71"/>
    <w:rsid w:val="00033D8D"/>
    <w:rsid w:val="00036863"/>
    <w:rsid w:val="00036F7E"/>
    <w:rsid w:val="00041242"/>
    <w:rsid w:val="000416CE"/>
    <w:rsid w:val="000439CA"/>
    <w:rsid w:val="00043C56"/>
    <w:rsid w:val="000440A4"/>
    <w:rsid w:val="00046B9E"/>
    <w:rsid w:val="0005065C"/>
    <w:rsid w:val="0005114B"/>
    <w:rsid w:val="0005153E"/>
    <w:rsid w:val="00051947"/>
    <w:rsid w:val="000544A7"/>
    <w:rsid w:val="000544DF"/>
    <w:rsid w:val="00054B1D"/>
    <w:rsid w:val="0005513D"/>
    <w:rsid w:val="00055BC4"/>
    <w:rsid w:val="0005610D"/>
    <w:rsid w:val="0005648B"/>
    <w:rsid w:val="000564CA"/>
    <w:rsid w:val="00056AE9"/>
    <w:rsid w:val="00057ADA"/>
    <w:rsid w:val="0006121F"/>
    <w:rsid w:val="00062851"/>
    <w:rsid w:val="0006657E"/>
    <w:rsid w:val="00066B05"/>
    <w:rsid w:val="00066E0B"/>
    <w:rsid w:val="000712C8"/>
    <w:rsid w:val="00071631"/>
    <w:rsid w:val="00073CD4"/>
    <w:rsid w:val="00074251"/>
    <w:rsid w:val="000745C9"/>
    <w:rsid w:val="00075203"/>
    <w:rsid w:val="00075EC0"/>
    <w:rsid w:val="00076A17"/>
    <w:rsid w:val="000773C1"/>
    <w:rsid w:val="00080EF8"/>
    <w:rsid w:val="000824BA"/>
    <w:rsid w:val="00082C5C"/>
    <w:rsid w:val="00082CD8"/>
    <w:rsid w:val="00082F11"/>
    <w:rsid w:val="0008366C"/>
    <w:rsid w:val="000837A2"/>
    <w:rsid w:val="00084B83"/>
    <w:rsid w:val="000858B2"/>
    <w:rsid w:val="00085AAC"/>
    <w:rsid w:val="000872CB"/>
    <w:rsid w:val="00090BB5"/>
    <w:rsid w:val="00091777"/>
    <w:rsid w:val="0009404B"/>
    <w:rsid w:val="00094406"/>
    <w:rsid w:val="00094B93"/>
    <w:rsid w:val="00094CD5"/>
    <w:rsid w:val="000956B3"/>
    <w:rsid w:val="00096A17"/>
    <w:rsid w:val="00096D71"/>
    <w:rsid w:val="000A2FC6"/>
    <w:rsid w:val="000A3C07"/>
    <w:rsid w:val="000A41F7"/>
    <w:rsid w:val="000A4ACA"/>
    <w:rsid w:val="000A4EDD"/>
    <w:rsid w:val="000A5684"/>
    <w:rsid w:val="000A66BD"/>
    <w:rsid w:val="000B0722"/>
    <w:rsid w:val="000B07D2"/>
    <w:rsid w:val="000B1226"/>
    <w:rsid w:val="000B1517"/>
    <w:rsid w:val="000B7669"/>
    <w:rsid w:val="000B7FF7"/>
    <w:rsid w:val="000C0918"/>
    <w:rsid w:val="000C0CA5"/>
    <w:rsid w:val="000C0CCD"/>
    <w:rsid w:val="000C1440"/>
    <w:rsid w:val="000C2027"/>
    <w:rsid w:val="000C2792"/>
    <w:rsid w:val="000C27B8"/>
    <w:rsid w:val="000C3B0F"/>
    <w:rsid w:val="000C3B7F"/>
    <w:rsid w:val="000C4A8C"/>
    <w:rsid w:val="000C55C6"/>
    <w:rsid w:val="000C588A"/>
    <w:rsid w:val="000C6DBE"/>
    <w:rsid w:val="000C7D2E"/>
    <w:rsid w:val="000D004D"/>
    <w:rsid w:val="000D05B2"/>
    <w:rsid w:val="000D1102"/>
    <w:rsid w:val="000D12F6"/>
    <w:rsid w:val="000D24A9"/>
    <w:rsid w:val="000D50FB"/>
    <w:rsid w:val="000D5CD6"/>
    <w:rsid w:val="000D640F"/>
    <w:rsid w:val="000E0296"/>
    <w:rsid w:val="000E0E75"/>
    <w:rsid w:val="000E1348"/>
    <w:rsid w:val="000E1750"/>
    <w:rsid w:val="000E444B"/>
    <w:rsid w:val="000E4679"/>
    <w:rsid w:val="000E6362"/>
    <w:rsid w:val="000F17DF"/>
    <w:rsid w:val="000F1C96"/>
    <w:rsid w:val="000F1CDC"/>
    <w:rsid w:val="000F299B"/>
    <w:rsid w:val="000F3822"/>
    <w:rsid w:val="000F445B"/>
    <w:rsid w:val="000F4BB1"/>
    <w:rsid w:val="000F5749"/>
    <w:rsid w:val="000F6575"/>
    <w:rsid w:val="000F7AE6"/>
    <w:rsid w:val="00101213"/>
    <w:rsid w:val="001022CA"/>
    <w:rsid w:val="001038DC"/>
    <w:rsid w:val="00103966"/>
    <w:rsid w:val="0010432D"/>
    <w:rsid w:val="00105C21"/>
    <w:rsid w:val="00105DB1"/>
    <w:rsid w:val="001062AB"/>
    <w:rsid w:val="00106600"/>
    <w:rsid w:val="00106A54"/>
    <w:rsid w:val="0011108A"/>
    <w:rsid w:val="00111F65"/>
    <w:rsid w:val="001137D9"/>
    <w:rsid w:val="00113C44"/>
    <w:rsid w:val="00115161"/>
    <w:rsid w:val="00115439"/>
    <w:rsid w:val="00115D7B"/>
    <w:rsid w:val="00115E48"/>
    <w:rsid w:val="00116CC8"/>
    <w:rsid w:val="00117194"/>
    <w:rsid w:val="001209A8"/>
    <w:rsid w:val="00120B27"/>
    <w:rsid w:val="00122180"/>
    <w:rsid w:val="0012335D"/>
    <w:rsid w:val="00125683"/>
    <w:rsid w:val="00125DDB"/>
    <w:rsid w:val="00126079"/>
    <w:rsid w:val="00126820"/>
    <w:rsid w:val="00126E1B"/>
    <w:rsid w:val="001271BA"/>
    <w:rsid w:val="00127B10"/>
    <w:rsid w:val="00127CC7"/>
    <w:rsid w:val="001319A2"/>
    <w:rsid w:val="00132552"/>
    <w:rsid w:val="001331C3"/>
    <w:rsid w:val="00134C5A"/>
    <w:rsid w:val="00135483"/>
    <w:rsid w:val="00136201"/>
    <w:rsid w:val="00136E0D"/>
    <w:rsid w:val="00137CF4"/>
    <w:rsid w:val="00140C14"/>
    <w:rsid w:val="0014305A"/>
    <w:rsid w:val="00143AE7"/>
    <w:rsid w:val="00144817"/>
    <w:rsid w:val="0014483C"/>
    <w:rsid w:val="00145E5F"/>
    <w:rsid w:val="001462D7"/>
    <w:rsid w:val="001471B3"/>
    <w:rsid w:val="001474D5"/>
    <w:rsid w:val="00147B72"/>
    <w:rsid w:val="001501E4"/>
    <w:rsid w:val="001503E1"/>
    <w:rsid w:val="00151BCA"/>
    <w:rsid w:val="001524BF"/>
    <w:rsid w:val="00152B03"/>
    <w:rsid w:val="0015339B"/>
    <w:rsid w:val="00153562"/>
    <w:rsid w:val="0015366A"/>
    <w:rsid w:val="001542EE"/>
    <w:rsid w:val="00155193"/>
    <w:rsid w:val="001553EC"/>
    <w:rsid w:val="00155CB8"/>
    <w:rsid w:val="001569DC"/>
    <w:rsid w:val="00157965"/>
    <w:rsid w:val="00161885"/>
    <w:rsid w:val="00161B04"/>
    <w:rsid w:val="00162263"/>
    <w:rsid w:val="001637E2"/>
    <w:rsid w:val="00163DB6"/>
    <w:rsid w:val="00163ED5"/>
    <w:rsid w:val="00164ABA"/>
    <w:rsid w:val="0016506B"/>
    <w:rsid w:val="00166137"/>
    <w:rsid w:val="00166B0C"/>
    <w:rsid w:val="0016725C"/>
    <w:rsid w:val="00167B47"/>
    <w:rsid w:val="001705EF"/>
    <w:rsid w:val="0017062E"/>
    <w:rsid w:val="00170855"/>
    <w:rsid w:val="001736DE"/>
    <w:rsid w:val="001737F6"/>
    <w:rsid w:val="001742ED"/>
    <w:rsid w:val="001752DD"/>
    <w:rsid w:val="00177A42"/>
    <w:rsid w:val="00180009"/>
    <w:rsid w:val="00180488"/>
    <w:rsid w:val="00180909"/>
    <w:rsid w:val="00181408"/>
    <w:rsid w:val="00181531"/>
    <w:rsid w:val="00181970"/>
    <w:rsid w:val="00181B37"/>
    <w:rsid w:val="00181C49"/>
    <w:rsid w:val="00184A09"/>
    <w:rsid w:val="00185B7D"/>
    <w:rsid w:val="001860E5"/>
    <w:rsid w:val="0018667B"/>
    <w:rsid w:val="00186D7F"/>
    <w:rsid w:val="00186F8A"/>
    <w:rsid w:val="00187A26"/>
    <w:rsid w:val="001909F8"/>
    <w:rsid w:val="001916EA"/>
    <w:rsid w:val="0019175E"/>
    <w:rsid w:val="00192491"/>
    <w:rsid w:val="0019270C"/>
    <w:rsid w:val="00192AA3"/>
    <w:rsid w:val="001932D6"/>
    <w:rsid w:val="00193AC6"/>
    <w:rsid w:val="00193D21"/>
    <w:rsid w:val="001943E8"/>
    <w:rsid w:val="00196830"/>
    <w:rsid w:val="00197156"/>
    <w:rsid w:val="00197325"/>
    <w:rsid w:val="001979EF"/>
    <w:rsid w:val="00197B96"/>
    <w:rsid w:val="00197C83"/>
    <w:rsid w:val="001A0F57"/>
    <w:rsid w:val="001A121B"/>
    <w:rsid w:val="001A16F7"/>
    <w:rsid w:val="001A170E"/>
    <w:rsid w:val="001A2797"/>
    <w:rsid w:val="001A36C5"/>
    <w:rsid w:val="001A3723"/>
    <w:rsid w:val="001A3D73"/>
    <w:rsid w:val="001A5BDF"/>
    <w:rsid w:val="001B0AFF"/>
    <w:rsid w:val="001B1039"/>
    <w:rsid w:val="001B1654"/>
    <w:rsid w:val="001B2DEF"/>
    <w:rsid w:val="001B4135"/>
    <w:rsid w:val="001B4C5E"/>
    <w:rsid w:val="001B5050"/>
    <w:rsid w:val="001B7E61"/>
    <w:rsid w:val="001B7F0A"/>
    <w:rsid w:val="001C05CA"/>
    <w:rsid w:val="001C14B1"/>
    <w:rsid w:val="001C1DC0"/>
    <w:rsid w:val="001C3C36"/>
    <w:rsid w:val="001C5C56"/>
    <w:rsid w:val="001C5F27"/>
    <w:rsid w:val="001D01DB"/>
    <w:rsid w:val="001D1208"/>
    <w:rsid w:val="001D1657"/>
    <w:rsid w:val="001D3A18"/>
    <w:rsid w:val="001D4A32"/>
    <w:rsid w:val="001D5CBE"/>
    <w:rsid w:val="001D6B89"/>
    <w:rsid w:val="001D6E74"/>
    <w:rsid w:val="001D769E"/>
    <w:rsid w:val="001E13DE"/>
    <w:rsid w:val="001E1590"/>
    <w:rsid w:val="001E1981"/>
    <w:rsid w:val="001E218E"/>
    <w:rsid w:val="001E2637"/>
    <w:rsid w:val="001E61A6"/>
    <w:rsid w:val="001E6352"/>
    <w:rsid w:val="001F110F"/>
    <w:rsid w:val="001F15A6"/>
    <w:rsid w:val="001F1B38"/>
    <w:rsid w:val="001F1E9B"/>
    <w:rsid w:val="001F2972"/>
    <w:rsid w:val="001F29AE"/>
    <w:rsid w:val="001F2EE0"/>
    <w:rsid w:val="001F3E1F"/>
    <w:rsid w:val="001F484A"/>
    <w:rsid w:val="001F4DA0"/>
    <w:rsid w:val="001F5992"/>
    <w:rsid w:val="001F68D5"/>
    <w:rsid w:val="00200635"/>
    <w:rsid w:val="00200783"/>
    <w:rsid w:val="00200B9C"/>
    <w:rsid w:val="002015B0"/>
    <w:rsid w:val="00201E97"/>
    <w:rsid w:val="00203A07"/>
    <w:rsid w:val="00203A42"/>
    <w:rsid w:val="00204705"/>
    <w:rsid w:val="002053F1"/>
    <w:rsid w:val="00210020"/>
    <w:rsid w:val="00210ECA"/>
    <w:rsid w:val="00210FE4"/>
    <w:rsid w:val="00211A2F"/>
    <w:rsid w:val="00213E9A"/>
    <w:rsid w:val="00214E78"/>
    <w:rsid w:val="00215C57"/>
    <w:rsid w:val="002173E8"/>
    <w:rsid w:val="00217582"/>
    <w:rsid w:val="002178D7"/>
    <w:rsid w:val="00217A24"/>
    <w:rsid w:val="0022101A"/>
    <w:rsid w:val="00221771"/>
    <w:rsid w:val="00222271"/>
    <w:rsid w:val="00222377"/>
    <w:rsid w:val="00222826"/>
    <w:rsid w:val="00223B19"/>
    <w:rsid w:val="00225AFD"/>
    <w:rsid w:val="00230D01"/>
    <w:rsid w:val="00231494"/>
    <w:rsid w:val="0023170A"/>
    <w:rsid w:val="00231E76"/>
    <w:rsid w:val="00233012"/>
    <w:rsid w:val="002330E9"/>
    <w:rsid w:val="0023332F"/>
    <w:rsid w:val="00233F30"/>
    <w:rsid w:val="00234032"/>
    <w:rsid w:val="002342BC"/>
    <w:rsid w:val="002344F1"/>
    <w:rsid w:val="00235967"/>
    <w:rsid w:val="002366DE"/>
    <w:rsid w:val="00237FF0"/>
    <w:rsid w:val="00243056"/>
    <w:rsid w:val="0024324A"/>
    <w:rsid w:val="00243919"/>
    <w:rsid w:val="002440FD"/>
    <w:rsid w:val="00244357"/>
    <w:rsid w:val="00244660"/>
    <w:rsid w:val="00244C9A"/>
    <w:rsid w:val="00244FFE"/>
    <w:rsid w:val="00247512"/>
    <w:rsid w:val="00247653"/>
    <w:rsid w:val="00247F0C"/>
    <w:rsid w:val="00252A49"/>
    <w:rsid w:val="00253DD2"/>
    <w:rsid w:val="00254041"/>
    <w:rsid w:val="002561D3"/>
    <w:rsid w:val="00256269"/>
    <w:rsid w:val="002579EF"/>
    <w:rsid w:val="00260723"/>
    <w:rsid w:val="002607A3"/>
    <w:rsid w:val="00262703"/>
    <w:rsid w:val="00262B72"/>
    <w:rsid w:val="00262FF0"/>
    <w:rsid w:val="0026356A"/>
    <w:rsid w:val="00264068"/>
    <w:rsid w:val="00264DD4"/>
    <w:rsid w:val="002664E2"/>
    <w:rsid w:val="0027038C"/>
    <w:rsid w:val="002716FB"/>
    <w:rsid w:val="00272D91"/>
    <w:rsid w:val="00272F3E"/>
    <w:rsid w:val="00273C9E"/>
    <w:rsid w:val="00273F8C"/>
    <w:rsid w:val="00274A45"/>
    <w:rsid w:val="0027505D"/>
    <w:rsid w:val="002768BE"/>
    <w:rsid w:val="00276A1B"/>
    <w:rsid w:val="00281581"/>
    <w:rsid w:val="00281887"/>
    <w:rsid w:val="00281AE8"/>
    <w:rsid w:val="002821E0"/>
    <w:rsid w:val="0028755B"/>
    <w:rsid w:val="0029100D"/>
    <w:rsid w:val="002910ED"/>
    <w:rsid w:val="00291D3C"/>
    <w:rsid w:val="0029219F"/>
    <w:rsid w:val="00293E8A"/>
    <w:rsid w:val="00296F36"/>
    <w:rsid w:val="002975F4"/>
    <w:rsid w:val="002976E3"/>
    <w:rsid w:val="0029787C"/>
    <w:rsid w:val="002A0AA9"/>
    <w:rsid w:val="002A0E34"/>
    <w:rsid w:val="002A1D98"/>
    <w:rsid w:val="002A25F9"/>
    <w:rsid w:val="002A2FE1"/>
    <w:rsid w:val="002A31C4"/>
    <w:rsid w:val="002A4618"/>
    <w:rsid w:val="002A5E66"/>
    <w:rsid w:val="002A5EB4"/>
    <w:rsid w:val="002A616A"/>
    <w:rsid w:val="002B21EB"/>
    <w:rsid w:val="002B25E2"/>
    <w:rsid w:val="002B3493"/>
    <w:rsid w:val="002B3A14"/>
    <w:rsid w:val="002B3E5F"/>
    <w:rsid w:val="002B42D8"/>
    <w:rsid w:val="002B4BD3"/>
    <w:rsid w:val="002B5887"/>
    <w:rsid w:val="002B7C5D"/>
    <w:rsid w:val="002B7C6C"/>
    <w:rsid w:val="002B7D05"/>
    <w:rsid w:val="002C14F9"/>
    <w:rsid w:val="002C28E3"/>
    <w:rsid w:val="002C4C82"/>
    <w:rsid w:val="002C57E1"/>
    <w:rsid w:val="002C5A53"/>
    <w:rsid w:val="002C5DC3"/>
    <w:rsid w:val="002C5EE2"/>
    <w:rsid w:val="002C61A8"/>
    <w:rsid w:val="002C639D"/>
    <w:rsid w:val="002C712A"/>
    <w:rsid w:val="002D2D7E"/>
    <w:rsid w:val="002D337E"/>
    <w:rsid w:val="002D49D4"/>
    <w:rsid w:val="002D58E7"/>
    <w:rsid w:val="002D5A0E"/>
    <w:rsid w:val="002D6427"/>
    <w:rsid w:val="002D6C2E"/>
    <w:rsid w:val="002D7010"/>
    <w:rsid w:val="002D78E9"/>
    <w:rsid w:val="002D7C63"/>
    <w:rsid w:val="002E0D36"/>
    <w:rsid w:val="002E106C"/>
    <w:rsid w:val="002E1AC8"/>
    <w:rsid w:val="002E1BAA"/>
    <w:rsid w:val="002E206A"/>
    <w:rsid w:val="002E32E7"/>
    <w:rsid w:val="002E4A78"/>
    <w:rsid w:val="002E7D17"/>
    <w:rsid w:val="002F0376"/>
    <w:rsid w:val="002F160B"/>
    <w:rsid w:val="002F2BE0"/>
    <w:rsid w:val="002F2CE0"/>
    <w:rsid w:val="002F39C9"/>
    <w:rsid w:val="002F5991"/>
    <w:rsid w:val="0030004D"/>
    <w:rsid w:val="003013A3"/>
    <w:rsid w:val="0030300C"/>
    <w:rsid w:val="00303B22"/>
    <w:rsid w:val="003042ED"/>
    <w:rsid w:val="00305902"/>
    <w:rsid w:val="00305E38"/>
    <w:rsid w:val="00306B4F"/>
    <w:rsid w:val="00307020"/>
    <w:rsid w:val="00307D8B"/>
    <w:rsid w:val="00310219"/>
    <w:rsid w:val="003102E4"/>
    <w:rsid w:val="003107A5"/>
    <w:rsid w:val="00310B47"/>
    <w:rsid w:val="00311404"/>
    <w:rsid w:val="00311F7A"/>
    <w:rsid w:val="003147C9"/>
    <w:rsid w:val="00314CE0"/>
    <w:rsid w:val="00314E7F"/>
    <w:rsid w:val="003161E0"/>
    <w:rsid w:val="00317A46"/>
    <w:rsid w:val="00320AF9"/>
    <w:rsid w:val="00322731"/>
    <w:rsid w:val="0032284B"/>
    <w:rsid w:val="00322C31"/>
    <w:rsid w:val="0032383B"/>
    <w:rsid w:val="00324629"/>
    <w:rsid w:val="00324942"/>
    <w:rsid w:val="00325BD6"/>
    <w:rsid w:val="00325F10"/>
    <w:rsid w:val="0033180A"/>
    <w:rsid w:val="00331D7D"/>
    <w:rsid w:val="003322AA"/>
    <w:rsid w:val="00332F3A"/>
    <w:rsid w:val="00336A35"/>
    <w:rsid w:val="003372C3"/>
    <w:rsid w:val="00340404"/>
    <w:rsid w:val="00341B1F"/>
    <w:rsid w:val="00341D51"/>
    <w:rsid w:val="00342232"/>
    <w:rsid w:val="00342BAF"/>
    <w:rsid w:val="00342F58"/>
    <w:rsid w:val="00343976"/>
    <w:rsid w:val="0034493F"/>
    <w:rsid w:val="00344A42"/>
    <w:rsid w:val="00345847"/>
    <w:rsid w:val="00345904"/>
    <w:rsid w:val="00346DB2"/>
    <w:rsid w:val="00351E49"/>
    <w:rsid w:val="00351E99"/>
    <w:rsid w:val="003520FD"/>
    <w:rsid w:val="003525AD"/>
    <w:rsid w:val="00352805"/>
    <w:rsid w:val="00352E10"/>
    <w:rsid w:val="003604C5"/>
    <w:rsid w:val="00361325"/>
    <w:rsid w:val="00361414"/>
    <w:rsid w:val="00362B5D"/>
    <w:rsid w:val="0036323C"/>
    <w:rsid w:val="00363791"/>
    <w:rsid w:val="003637A9"/>
    <w:rsid w:val="00364C10"/>
    <w:rsid w:val="00364D92"/>
    <w:rsid w:val="003651A8"/>
    <w:rsid w:val="003652A1"/>
    <w:rsid w:val="00365915"/>
    <w:rsid w:val="0036697F"/>
    <w:rsid w:val="00366B21"/>
    <w:rsid w:val="00370538"/>
    <w:rsid w:val="00370EE3"/>
    <w:rsid w:val="00371669"/>
    <w:rsid w:val="00372FEA"/>
    <w:rsid w:val="0037460C"/>
    <w:rsid w:val="00374A1A"/>
    <w:rsid w:val="003753EF"/>
    <w:rsid w:val="0037542D"/>
    <w:rsid w:val="003757DC"/>
    <w:rsid w:val="003757FE"/>
    <w:rsid w:val="00376252"/>
    <w:rsid w:val="00376BFC"/>
    <w:rsid w:val="00376EE1"/>
    <w:rsid w:val="00380344"/>
    <w:rsid w:val="003804AD"/>
    <w:rsid w:val="003813A4"/>
    <w:rsid w:val="0038206F"/>
    <w:rsid w:val="00382C6A"/>
    <w:rsid w:val="0038332E"/>
    <w:rsid w:val="003837C7"/>
    <w:rsid w:val="00383877"/>
    <w:rsid w:val="00383BDD"/>
    <w:rsid w:val="00384669"/>
    <w:rsid w:val="00384B1E"/>
    <w:rsid w:val="0038537C"/>
    <w:rsid w:val="0038649E"/>
    <w:rsid w:val="00386BE7"/>
    <w:rsid w:val="00386DF4"/>
    <w:rsid w:val="00387E7E"/>
    <w:rsid w:val="003913B9"/>
    <w:rsid w:val="00391A1F"/>
    <w:rsid w:val="00392253"/>
    <w:rsid w:val="00392352"/>
    <w:rsid w:val="003945DB"/>
    <w:rsid w:val="00394F7E"/>
    <w:rsid w:val="003955A2"/>
    <w:rsid w:val="003A09F4"/>
    <w:rsid w:val="003A10F5"/>
    <w:rsid w:val="003A1A6E"/>
    <w:rsid w:val="003A1F62"/>
    <w:rsid w:val="003A3172"/>
    <w:rsid w:val="003A31CC"/>
    <w:rsid w:val="003A3548"/>
    <w:rsid w:val="003A454B"/>
    <w:rsid w:val="003A4E67"/>
    <w:rsid w:val="003A5A72"/>
    <w:rsid w:val="003A5ED9"/>
    <w:rsid w:val="003A72E5"/>
    <w:rsid w:val="003A76DD"/>
    <w:rsid w:val="003A7752"/>
    <w:rsid w:val="003B367D"/>
    <w:rsid w:val="003B3E7D"/>
    <w:rsid w:val="003B559E"/>
    <w:rsid w:val="003B59D9"/>
    <w:rsid w:val="003B5D45"/>
    <w:rsid w:val="003B6675"/>
    <w:rsid w:val="003B6952"/>
    <w:rsid w:val="003C10DD"/>
    <w:rsid w:val="003C1190"/>
    <w:rsid w:val="003C1289"/>
    <w:rsid w:val="003C1CA1"/>
    <w:rsid w:val="003C1F58"/>
    <w:rsid w:val="003C3179"/>
    <w:rsid w:val="003C3300"/>
    <w:rsid w:val="003C3481"/>
    <w:rsid w:val="003C3791"/>
    <w:rsid w:val="003C4205"/>
    <w:rsid w:val="003C422D"/>
    <w:rsid w:val="003C5ABF"/>
    <w:rsid w:val="003C7CB1"/>
    <w:rsid w:val="003D0F84"/>
    <w:rsid w:val="003D10D2"/>
    <w:rsid w:val="003D137A"/>
    <w:rsid w:val="003D1E45"/>
    <w:rsid w:val="003D300E"/>
    <w:rsid w:val="003D3F69"/>
    <w:rsid w:val="003D430B"/>
    <w:rsid w:val="003D647D"/>
    <w:rsid w:val="003D6601"/>
    <w:rsid w:val="003D7B1B"/>
    <w:rsid w:val="003D7B40"/>
    <w:rsid w:val="003E01CB"/>
    <w:rsid w:val="003E01D7"/>
    <w:rsid w:val="003E11C1"/>
    <w:rsid w:val="003E15AA"/>
    <w:rsid w:val="003E1C45"/>
    <w:rsid w:val="003E2402"/>
    <w:rsid w:val="003E2A9C"/>
    <w:rsid w:val="003E2BFA"/>
    <w:rsid w:val="003E2C59"/>
    <w:rsid w:val="003E46E0"/>
    <w:rsid w:val="003E4969"/>
    <w:rsid w:val="003E5F8D"/>
    <w:rsid w:val="003E5F95"/>
    <w:rsid w:val="003E744E"/>
    <w:rsid w:val="003E7467"/>
    <w:rsid w:val="003F0E5A"/>
    <w:rsid w:val="003F2F87"/>
    <w:rsid w:val="003F328D"/>
    <w:rsid w:val="003F3D20"/>
    <w:rsid w:val="003F3D3D"/>
    <w:rsid w:val="003F4015"/>
    <w:rsid w:val="003F4477"/>
    <w:rsid w:val="003F4A55"/>
    <w:rsid w:val="003F4FAB"/>
    <w:rsid w:val="003F5CA7"/>
    <w:rsid w:val="003F6FB7"/>
    <w:rsid w:val="004007DB"/>
    <w:rsid w:val="00400C8B"/>
    <w:rsid w:val="00400F7F"/>
    <w:rsid w:val="0040144E"/>
    <w:rsid w:val="00402148"/>
    <w:rsid w:val="004024F1"/>
    <w:rsid w:val="00402FA8"/>
    <w:rsid w:val="00403EE9"/>
    <w:rsid w:val="004043A2"/>
    <w:rsid w:val="0040459D"/>
    <w:rsid w:val="00405121"/>
    <w:rsid w:val="004104BD"/>
    <w:rsid w:val="0041079B"/>
    <w:rsid w:val="0041080D"/>
    <w:rsid w:val="00410D40"/>
    <w:rsid w:val="00411141"/>
    <w:rsid w:val="00411481"/>
    <w:rsid w:val="00412922"/>
    <w:rsid w:val="00412A51"/>
    <w:rsid w:val="00414707"/>
    <w:rsid w:val="00414E62"/>
    <w:rsid w:val="004152B0"/>
    <w:rsid w:val="00416102"/>
    <w:rsid w:val="0041786D"/>
    <w:rsid w:val="004178C0"/>
    <w:rsid w:val="00420952"/>
    <w:rsid w:val="00420ECB"/>
    <w:rsid w:val="0042200D"/>
    <w:rsid w:val="00422355"/>
    <w:rsid w:val="00423691"/>
    <w:rsid w:val="004248EB"/>
    <w:rsid w:val="00426DC2"/>
    <w:rsid w:val="00427452"/>
    <w:rsid w:val="00427D01"/>
    <w:rsid w:val="00431297"/>
    <w:rsid w:val="00431C4F"/>
    <w:rsid w:val="00431F1E"/>
    <w:rsid w:val="00433227"/>
    <w:rsid w:val="00433FFB"/>
    <w:rsid w:val="00434521"/>
    <w:rsid w:val="00435338"/>
    <w:rsid w:val="00435793"/>
    <w:rsid w:val="00435878"/>
    <w:rsid w:val="0043590D"/>
    <w:rsid w:val="00435C59"/>
    <w:rsid w:val="00436A23"/>
    <w:rsid w:val="00437A7F"/>
    <w:rsid w:val="00440C79"/>
    <w:rsid w:val="00440D21"/>
    <w:rsid w:val="00441788"/>
    <w:rsid w:val="00441801"/>
    <w:rsid w:val="00441A24"/>
    <w:rsid w:val="0044226A"/>
    <w:rsid w:val="004425D2"/>
    <w:rsid w:val="00442C53"/>
    <w:rsid w:val="00443314"/>
    <w:rsid w:val="0044338F"/>
    <w:rsid w:val="00443E7F"/>
    <w:rsid w:val="00444687"/>
    <w:rsid w:val="00444AAB"/>
    <w:rsid w:val="00444BAF"/>
    <w:rsid w:val="00445268"/>
    <w:rsid w:val="00445623"/>
    <w:rsid w:val="00445A89"/>
    <w:rsid w:val="00446354"/>
    <w:rsid w:val="004467D3"/>
    <w:rsid w:val="00446D03"/>
    <w:rsid w:val="00446FE7"/>
    <w:rsid w:val="0045274F"/>
    <w:rsid w:val="004541C8"/>
    <w:rsid w:val="0045494F"/>
    <w:rsid w:val="00455243"/>
    <w:rsid w:val="00455782"/>
    <w:rsid w:val="0045694F"/>
    <w:rsid w:val="004617B2"/>
    <w:rsid w:val="0046208D"/>
    <w:rsid w:val="0046253F"/>
    <w:rsid w:val="00463646"/>
    <w:rsid w:val="004641DB"/>
    <w:rsid w:val="00466E7D"/>
    <w:rsid w:val="00467A78"/>
    <w:rsid w:val="00467D66"/>
    <w:rsid w:val="00470302"/>
    <w:rsid w:val="0047140D"/>
    <w:rsid w:val="0047179B"/>
    <w:rsid w:val="004717D9"/>
    <w:rsid w:val="00472192"/>
    <w:rsid w:val="00472FDE"/>
    <w:rsid w:val="0047338C"/>
    <w:rsid w:val="0047387D"/>
    <w:rsid w:val="00474844"/>
    <w:rsid w:val="00474B80"/>
    <w:rsid w:val="0047599B"/>
    <w:rsid w:val="00475C95"/>
    <w:rsid w:val="004765B6"/>
    <w:rsid w:val="004803A6"/>
    <w:rsid w:val="004812D1"/>
    <w:rsid w:val="00481BCD"/>
    <w:rsid w:val="00481D7C"/>
    <w:rsid w:val="0048224C"/>
    <w:rsid w:val="00482715"/>
    <w:rsid w:val="0048301B"/>
    <w:rsid w:val="004837DF"/>
    <w:rsid w:val="00484815"/>
    <w:rsid w:val="00484DB2"/>
    <w:rsid w:val="00487806"/>
    <w:rsid w:val="00491419"/>
    <w:rsid w:val="0049146C"/>
    <w:rsid w:val="0049154E"/>
    <w:rsid w:val="00491A79"/>
    <w:rsid w:val="0049301E"/>
    <w:rsid w:val="0049381C"/>
    <w:rsid w:val="004938A4"/>
    <w:rsid w:val="004939DA"/>
    <w:rsid w:val="00494B59"/>
    <w:rsid w:val="00494C4F"/>
    <w:rsid w:val="004959D0"/>
    <w:rsid w:val="0049640C"/>
    <w:rsid w:val="00496E99"/>
    <w:rsid w:val="004A099A"/>
    <w:rsid w:val="004A2033"/>
    <w:rsid w:val="004A24E2"/>
    <w:rsid w:val="004A38DE"/>
    <w:rsid w:val="004A4463"/>
    <w:rsid w:val="004A57CE"/>
    <w:rsid w:val="004A5947"/>
    <w:rsid w:val="004A5A84"/>
    <w:rsid w:val="004A5B1A"/>
    <w:rsid w:val="004A7991"/>
    <w:rsid w:val="004A7C68"/>
    <w:rsid w:val="004B0612"/>
    <w:rsid w:val="004B0715"/>
    <w:rsid w:val="004B1179"/>
    <w:rsid w:val="004B23E3"/>
    <w:rsid w:val="004B2C74"/>
    <w:rsid w:val="004B2F5B"/>
    <w:rsid w:val="004B3951"/>
    <w:rsid w:val="004B4546"/>
    <w:rsid w:val="004B4A17"/>
    <w:rsid w:val="004B4BBB"/>
    <w:rsid w:val="004B4EFA"/>
    <w:rsid w:val="004B57E2"/>
    <w:rsid w:val="004B5BCC"/>
    <w:rsid w:val="004B5E0A"/>
    <w:rsid w:val="004B61A9"/>
    <w:rsid w:val="004B642D"/>
    <w:rsid w:val="004B6BE7"/>
    <w:rsid w:val="004B77FE"/>
    <w:rsid w:val="004C0E60"/>
    <w:rsid w:val="004C1A8F"/>
    <w:rsid w:val="004C2907"/>
    <w:rsid w:val="004C30B9"/>
    <w:rsid w:val="004C37E9"/>
    <w:rsid w:val="004C4882"/>
    <w:rsid w:val="004C51B3"/>
    <w:rsid w:val="004C65FE"/>
    <w:rsid w:val="004C6730"/>
    <w:rsid w:val="004C6E51"/>
    <w:rsid w:val="004C7874"/>
    <w:rsid w:val="004C7CC1"/>
    <w:rsid w:val="004D082F"/>
    <w:rsid w:val="004D139B"/>
    <w:rsid w:val="004D13A1"/>
    <w:rsid w:val="004D150E"/>
    <w:rsid w:val="004D1559"/>
    <w:rsid w:val="004D1813"/>
    <w:rsid w:val="004D21EC"/>
    <w:rsid w:val="004D2366"/>
    <w:rsid w:val="004D2D47"/>
    <w:rsid w:val="004D36A3"/>
    <w:rsid w:val="004D510B"/>
    <w:rsid w:val="004D6107"/>
    <w:rsid w:val="004E1F96"/>
    <w:rsid w:val="004E275D"/>
    <w:rsid w:val="004E4130"/>
    <w:rsid w:val="004E4C78"/>
    <w:rsid w:val="004E6338"/>
    <w:rsid w:val="004E6D99"/>
    <w:rsid w:val="004E6F8D"/>
    <w:rsid w:val="004F05B3"/>
    <w:rsid w:val="004F1089"/>
    <w:rsid w:val="004F14E8"/>
    <w:rsid w:val="004F2C95"/>
    <w:rsid w:val="004F34A8"/>
    <w:rsid w:val="004F4AE0"/>
    <w:rsid w:val="004F4B27"/>
    <w:rsid w:val="004F50B2"/>
    <w:rsid w:val="004F526C"/>
    <w:rsid w:val="004F54BA"/>
    <w:rsid w:val="004F5F7F"/>
    <w:rsid w:val="004F68F2"/>
    <w:rsid w:val="005000FE"/>
    <w:rsid w:val="005007CC"/>
    <w:rsid w:val="00500829"/>
    <w:rsid w:val="00500B95"/>
    <w:rsid w:val="00500D41"/>
    <w:rsid w:val="00503685"/>
    <w:rsid w:val="005047FD"/>
    <w:rsid w:val="00504FB2"/>
    <w:rsid w:val="00506B42"/>
    <w:rsid w:val="00507698"/>
    <w:rsid w:val="00507A5D"/>
    <w:rsid w:val="0051026B"/>
    <w:rsid w:val="005118AB"/>
    <w:rsid w:val="00512034"/>
    <w:rsid w:val="00512D2A"/>
    <w:rsid w:val="005142D5"/>
    <w:rsid w:val="00514D3A"/>
    <w:rsid w:val="00514F73"/>
    <w:rsid w:val="00517168"/>
    <w:rsid w:val="00517BDB"/>
    <w:rsid w:val="00521253"/>
    <w:rsid w:val="0052235F"/>
    <w:rsid w:val="00523439"/>
    <w:rsid w:val="005255BA"/>
    <w:rsid w:val="00526665"/>
    <w:rsid w:val="00527C3A"/>
    <w:rsid w:val="00531FE5"/>
    <w:rsid w:val="0053269D"/>
    <w:rsid w:val="00532ED5"/>
    <w:rsid w:val="00533FB8"/>
    <w:rsid w:val="005340AF"/>
    <w:rsid w:val="0053521C"/>
    <w:rsid w:val="00535F24"/>
    <w:rsid w:val="005361E9"/>
    <w:rsid w:val="0054082E"/>
    <w:rsid w:val="0054132B"/>
    <w:rsid w:val="00541D5A"/>
    <w:rsid w:val="00542A4C"/>
    <w:rsid w:val="0054343A"/>
    <w:rsid w:val="00543833"/>
    <w:rsid w:val="005448F9"/>
    <w:rsid w:val="00545C97"/>
    <w:rsid w:val="00546111"/>
    <w:rsid w:val="0054631A"/>
    <w:rsid w:val="005474A7"/>
    <w:rsid w:val="00551078"/>
    <w:rsid w:val="005528D7"/>
    <w:rsid w:val="00552CF9"/>
    <w:rsid w:val="0055319A"/>
    <w:rsid w:val="00553A93"/>
    <w:rsid w:val="00553E41"/>
    <w:rsid w:val="00554E16"/>
    <w:rsid w:val="00555EA2"/>
    <w:rsid w:val="00556ACF"/>
    <w:rsid w:val="00556C8D"/>
    <w:rsid w:val="00557A2E"/>
    <w:rsid w:val="005619A4"/>
    <w:rsid w:val="00563148"/>
    <w:rsid w:val="00564925"/>
    <w:rsid w:val="00565404"/>
    <w:rsid w:val="0056734E"/>
    <w:rsid w:val="0056744E"/>
    <w:rsid w:val="005704A3"/>
    <w:rsid w:val="005707EF"/>
    <w:rsid w:val="00570DA0"/>
    <w:rsid w:val="00571BB6"/>
    <w:rsid w:val="00572AAC"/>
    <w:rsid w:val="00573003"/>
    <w:rsid w:val="005730F0"/>
    <w:rsid w:val="0057370A"/>
    <w:rsid w:val="00573FB1"/>
    <w:rsid w:val="00576136"/>
    <w:rsid w:val="005764D5"/>
    <w:rsid w:val="005765A1"/>
    <w:rsid w:val="00576A34"/>
    <w:rsid w:val="00577A8A"/>
    <w:rsid w:val="00577FBF"/>
    <w:rsid w:val="0058049C"/>
    <w:rsid w:val="00580792"/>
    <w:rsid w:val="00581064"/>
    <w:rsid w:val="0058113B"/>
    <w:rsid w:val="00581334"/>
    <w:rsid w:val="00581514"/>
    <w:rsid w:val="00582386"/>
    <w:rsid w:val="00582A77"/>
    <w:rsid w:val="00583B02"/>
    <w:rsid w:val="00584B35"/>
    <w:rsid w:val="00584BF4"/>
    <w:rsid w:val="00584ED1"/>
    <w:rsid w:val="00585B72"/>
    <w:rsid w:val="00585C2C"/>
    <w:rsid w:val="005865C7"/>
    <w:rsid w:val="00586E45"/>
    <w:rsid w:val="00587754"/>
    <w:rsid w:val="00590237"/>
    <w:rsid w:val="005928C5"/>
    <w:rsid w:val="00592B2F"/>
    <w:rsid w:val="00592D76"/>
    <w:rsid w:val="005930B9"/>
    <w:rsid w:val="00593A63"/>
    <w:rsid w:val="00594F51"/>
    <w:rsid w:val="00595052"/>
    <w:rsid w:val="005955BC"/>
    <w:rsid w:val="00597A56"/>
    <w:rsid w:val="005A0E90"/>
    <w:rsid w:val="005A1B17"/>
    <w:rsid w:val="005A26D5"/>
    <w:rsid w:val="005A4222"/>
    <w:rsid w:val="005A5060"/>
    <w:rsid w:val="005A5F8B"/>
    <w:rsid w:val="005A68A5"/>
    <w:rsid w:val="005A6988"/>
    <w:rsid w:val="005A71B8"/>
    <w:rsid w:val="005B05A0"/>
    <w:rsid w:val="005B0841"/>
    <w:rsid w:val="005B296B"/>
    <w:rsid w:val="005B2A20"/>
    <w:rsid w:val="005B317C"/>
    <w:rsid w:val="005B4172"/>
    <w:rsid w:val="005B500F"/>
    <w:rsid w:val="005B5728"/>
    <w:rsid w:val="005B6660"/>
    <w:rsid w:val="005B666F"/>
    <w:rsid w:val="005B6B13"/>
    <w:rsid w:val="005B6EC3"/>
    <w:rsid w:val="005B713F"/>
    <w:rsid w:val="005B738D"/>
    <w:rsid w:val="005B762F"/>
    <w:rsid w:val="005C03DB"/>
    <w:rsid w:val="005C12D2"/>
    <w:rsid w:val="005C1A98"/>
    <w:rsid w:val="005C1AC2"/>
    <w:rsid w:val="005C226F"/>
    <w:rsid w:val="005C2704"/>
    <w:rsid w:val="005C4534"/>
    <w:rsid w:val="005C54A5"/>
    <w:rsid w:val="005C5E1B"/>
    <w:rsid w:val="005C6686"/>
    <w:rsid w:val="005C7F76"/>
    <w:rsid w:val="005D0703"/>
    <w:rsid w:val="005D0E31"/>
    <w:rsid w:val="005D0FF6"/>
    <w:rsid w:val="005D1814"/>
    <w:rsid w:val="005D1AA9"/>
    <w:rsid w:val="005D2582"/>
    <w:rsid w:val="005D2899"/>
    <w:rsid w:val="005D2F4F"/>
    <w:rsid w:val="005D45E2"/>
    <w:rsid w:val="005D4D36"/>
    <w:rsid w:val="005D4F77"/>
    <w:rsid w:val="005D50E5"/>
    <w:rsid w:val="005D5333"/>
    <w:rsid w:val="005D62A5"/>
    <w:rsid w:val="005D6EAC"/>
    <w:rsid w:val="005D74B4"/>
    <w:rsid w:val="005E041E"/>
    <w:rsid w:val="005E066A"/>
    <w:rsid w:val="005E08F0"/>
    <w:rsid w:val="005E136D"/>
    <w:rsid w:val="005E209B"/>
    <w:rsid w:val="005E2796"/>
    <w:rsid w:val="005E2853"/>
    <w:rsid w:val="005E29D8"/>
    <w:rsid w:val="005E3525"/>
    <w:rsid w:val="005E6190"/>
    <w:rsid w:val="005E6D04"/>
    <w:rsid w:val="005E711C"/>
    <w:rsid w:val="005E78FF"/>
    <w:rsid w:val="005F03B6"/>
    <w:rsid w:val="005F0B86"/>
    <w:rsid w:val="005F1F14"/>
    <w:rsid w:val="005F2D59"/>
    <w:rsid w:val="005F2E1C"/>
    <w:rsid w:val="005F3FF8"/>
    <w:rsid w:val="005F4702"/>
    <w:rsid w:val="005F5553"/>
    <w:rsid w:val="005F5F5F"/>
    <w:rsid w:val="005F688B"/>
    <w:rsid w:val="005F7769"/>
    <w:rsid w:val="005F7AF3"/>
    <w:rsid w:val="00600EF7"/>
    <w:rsid w:val="006013D6"/>
    <w:rsid w:val="0060202E"/>
    <w:rsid w:val="006022B6"/>
    <w:rsid w:val="00602601"/>
    <w:rsid w:val="00602BD9"/>
    <w:rsid w:val="0060313A"/>
    <w:rsid w:val="00605458"/>
    <w:rsid w:val="0060612E"/>
    <w:rsid w:val="00606422"/>
    <w:rsid w:val="00610966"/>
    <w:rsid w:val="00611A6B"/>
    <w:rsid w:val="00611B75"/>
    <w:rsid w:val="00612785"/>
    <w:rsid w:val="00615124"/>
    <w:rsid w:val="00617A49"/>
    <w:rsid w:val="00617E8B"/>
    <w:rsid w:val="0062494A"/>
    <w:rsid w:val="006253F1"/>
    <w:rsid w:val="006264B1"/>
    <w:rsid w:val="00627238"/>
    <w:rsid w:val="00630DAC"/>
    <w:rsid w:val="00630E1C"/>
    <w:rsid w:val="00630E60"/>
    <w:rsid w:val="006319BA"/>
    <w:rsid w:val="00631F36"/>
    <w:rsid w:val="006338F0"/>
    <w:rsid w:val="00635980"/>
    <w:rsid w:val="00635F47"/>
    <w:rsid w:val="00636385"/>
    <w:rsid w:val="006377D7"/>
    <w:rsid w:val="00640359"/>
    <w:rsid w:val="006418DB"/>
    <w:rsid w:val="0064259B"/>
    <w:rsid w:val="00643300"/>
    <w:rsid w:val="006435C5"/>
    <w:rsid w:val="00643856"/>
    <w:rsid w:val="006439B3"/>
    <w:rsid w:val="00643CB6"/>
    <w:rsid w:val="006440DE"/>
    <w:rsid w:val="0064411E"/>
    <w:rsid w:val="00644909"/>
    <w:rsid w:val="00646034"/>
    <w:rsid w:val="00647984"/>
    <w:rsid w:val="006502FA"/>
    <w:rsid w:val="006508CF"/>
    <w:rsid w:val="00650C43"/>
    <w:rsid w:val="00651B78"/>
    <w:rsid w:val="00651D3F"/>
    <w:rsid w:val="00651EDB"/>
    <w:rsid w:val="0065276D"/>
    <w:rsid w:val="0065285F"/>
    <w:rsid w:val="00653120"/>
    <w:rsid w:val="00653D99"/>
    <w:rsid w:val="00654125"/>
    <w:rsid w:val="00654444"/>
    <w:rsid w:val="00654563"/>
    <w:rsid w:val="00654E03"/>
    <w:rsid w:val="00656EA0"/>
    <w:rsid w:val="006605C3"/>
    <w:rsid w:val="00663932"/>
    <w:rsid w:val="006646FE"/>
    <w:rsid w:val="0066550E"/>
    <w:rsid w:val="006655F4"/>
    <w:rsid w:val="006663FD"/>
    <w:rsid w:val="006670FF"/>
    <w:rsid w:val="0066750D"/>
    <w:rsid w:val="00667FE4"/>
    <w:rsid w:val="00671016"/>
    <w:rsid w:val="00671C9E"/>
    <w:rsid w:val="006721A6"/>
    <w:rsid w:val="00672F92"/>
    <w:rsid w:val="006730DF"/>
    <w:rsid w:val="0067378F"/>
    <w:rsid w:val="00673969"/>
    <w:rsid w:val="00674DA6"/>
    <w:rsid w:val="00674E96"/>
    <w:rsid w:val="00675047"/>
    <w:rsid w:val="006757A0"/>
    <w:rsid w:val="00676EEF"/>
    <w:rsid w:val="00677195"/>
    <w:rsid w:val="006772C8"/>
    <w:rsid w:val="0067767B"/>
    <w:rsid w:val="0067797F"/>
    <w:rsid w:val="00677F66"/>
    <w:rsid w:val="0068010E"/>
    <w:rsid w:val="00680627"/>
    <w:rsid w:val="006809A1"/>
    <w:rsid w:val="00680FD9"/>
    <w:rsid w:val="00681716"/>
    <w:rsid w:val="00681E38"/>
    <w:rsid w:val="00682057"/>
    <w:rsid w:val="00682B2A"/>
    <w:rsid w:val="00684434"/>
    <w:rsid w:val="00684C90"/>
    <w:rsid w:val="006852A3"/>
    <w:rsid w:val="00686340"/>
    <w:rsid w:val="006865A6"/>
    <w:rsid w:val="006876E7"/>
    <w:rsid w:val="00691454"/>
    <w:rsid w:val="006926C2"/>
    <w:rsid w:val="0069326E"/>
    <w:rsid w:val="0069350B"/>
    <w:rsid w:val="0069416E"/>
    <w:rsid w:val="00694BB8"/>
    <w:rsid w:val="00694C09"/>
    <w:rsid w:val="00697A44"/>
    <w:rsid w:val="006A0505"/>
    <w:rsid w:val="006A40D6"/>
    <w:rsid w:val="006A46FB"/>
    <w:rsid w:val="006A4D73"/>
    <w:rsid w:val="006A6A8C"/>
    <w:rsid w:val="006B0BFF"/>
    <w:rsid w:val="006B1A6E"/>
    <w:rsid w:val="006B1F13"/>
    <w:rsid w:val="006B21C1"/>
    <w:rsid w:val="006B31B9"/>
    <w:rsid w:val="006B3800"/>
    <w:rsid w:val="006B52E4"/>
    <w:rsid w:val="006B5644"/>
    <w:rsid w:val="006B622E"/>
    <w:rsid w:val="006B74E7"/>
    <w:rsid w:val="006B79BE"/>
    <w:rsid w:val="006C0E92"/>
    <w:rsid w:val="006C2552"/>
    <w:rsid w:val="006C306C"/>
    <w:rsid w:val="006C338D"/>
    <w:rsid w:val="006C3AAD"/>
    <w:rsid w:val="006C4BEC"/>
    <w:rsid w:val="006C5663"/>
    <w:rsid w:val="006C6A72"/>
    <w:rsid w:val="006D196F"/>
    <w:rsid w:val="006D3461"/>
    <w:rsid w:val="006D3599"/>
    <w:rsid w:val="006D4497"/>
    <w:rsid w:val="006D4BF1"/>
    <w:rsid w:val="006D6077"/>
    <w:rsid w:val="006D789A"/>
    <w:rsid w:val="006E04C0"/>
    <w:rsid w:val="006E288A"/>
    <w:rsid w:val="006E2B6F"/>
    <w:rsid w:val="006E4B96"/>
    <w:rsid w:val="006E7CFA"/>
    <w:rsid w:val="006F09E5"/>
    <w:rsid w:val="006F11BC"/>
    <w:rsid w:val="006F2513"/>
    <w:rsid w:val="006F25A6"/>
    <w:rsid w:val="006F273B"/>
    <w:rsid w:val="006F2C72"/>
    <w:rsid w:val="006F39A6"/>
    <w:rsid w:val="006F3A2A"/>
    <w:rsid w:val="006F3F3A"/>
    <w:rsid w:val="006F40F6"/>
    <w:rsid w:val="006F531B"/>
    <w:rsid w:val="006F5B43"/>
    <w:rsid w:val="006F603C"/>
    <w:rsid w:val="006F62D3"/>
    <w:rsid w:val="006F693C"/>
    <w:rsid w:val="006F7164"/>
    <w:rsid w:val="007003F6"/>
    <w:rsid w:val="007006F9"/>
    <w:rsid w:val="00700977"/>
    <w:rsid w:val="00700AB7"/>
    <w:rsid w:val="00700B68"/>
    <w:rsid w:val="007018A5"/>
    <w:rsid w:val="007019DA"/>
    <w:rsid w:val="00702200"/>
    <w:rsid w:val="007027BB"/>
    <w:rsid w:val="00702BCF"/>
    <w:rsid w:val="00703613"/>
    <w:rsid w:val="00703B69"/>
    <w:rsid w:val="0070457E"/>
    <w:rsid w:val="00705753"/>
    <w:rsid w:val="0070647C"/>
    <w:rsid w:val="00707F7E"/>
    <w:rsid w:val="0071001E"/>
    <w:rsid w:val="00711682"/>
    <w:rsid w:val="00713650"/>
    <w:rsid w:val="007150B2"/>
    <w:rsid w:val="00717537"/>
    <w:rsid w:val="007175BF"/>
    <w:rsid w:val="0072060B"/>
    <w:rsid w:val="00720AAE"/>
    <w:rsid w:val="00723AD7"/>
    <w:rsid w:val="00725BA1"/>
    <w:rsid w:val="0072786F"/>
    <w:rsid w:val="00731C0A"/>
    <w:rsid w:val="0073414D"/>
    <w:rsid w:val="007342A5"/>
    <w:rsid w:val="00734AAC"/>
    <w:rsid w:val="0073782C"/>
    <w:rsid w:val="00737A99"/>
    <w:rsid w:val="00740F5D"/>
    <w:rsid w:val="007418C4"/>
    <w:rsid w:val="007418DD"/>
    <w:rsid w:val="00741C57"/>
    <w:rsid w:val="00742346"/>
    <w:rsid w:val="0074243F"/>
    <w:rsid w:val="00742A78"/>
    <w:rsid w:val="007437C2"/>
    <w:rsid w:val="00743FDA"/>
    <w:rsid w:val="00744352"/>
    <w:rsid w:val="00744ED3"/>
    <w:rsid w:val="0074612B"/>
    <w:rsid w:val="0074680B"/>
    <w:rsid w:val="0074736A"/>
    <w:rsid w:val="00747EEB"/>
    <w:rsid w:val="00747FE2"/>
    <w:rsid w:val="00750CF5"/>
    <w:rsid w:val="00751888"/>
    <w:rsid w:val="007526D9"/>
    <w:rsid w:val="00752D5F"/>
    <w:rsid w:val="007544E5"/>
    <w:rsid w:val="007555F5"/>
    <w:rsid w:val="007565CD"/>
    <w:rsid w:val="00761B03"/>
    <w:rsid w:val="00762C61"/>
    <w:rsid w:val="00762D54"/>
    <w:rsid w:val="00762E7D"/>
    <w:rsid w:val="0076372A"/>
    <w:rsid w:val="007656B3"/>
    <w:rsid w:val="00766122"/>
    <w:rsid w:val="00766753"/>
    <w:rsid w:val="00766F33"/>
    <w:rsid w:val="00767534"/>
    <w:rsid w:val="0077182E"/>
    <w:rsid w:val="007729B6"/>
    <w:rsid w:val="00772EA8"/>
    <w:rsid w:val="00773134"/>
    <w:rsid w:val="00775AB0"/>
    <w:rsid w:val="0077790B"/>
    <w:rsid w:val="007806F8"/>
    <w:rsid w:val="0078081B"/>
    <w:rsid w:val="007812D1"/>
    <w:rsid w:val="00781633"/>
    <w:rsid w:val="0078195A"/>
    <w:rsid w:val="00783283"/>
    <w:rsid w:val="00783A8D"/>
    <w:rsid w:val="00784C9B"/>
    <w:rsid w:val="00785824"/>
    <w:rsid w:val="00785E00"/>
    <w:rsid w:val="00786355"/>
    <w:rsid w:val="0078681D"/>
    <w:rsid w:val="00790456"/>
    <w:rsid w:val="00790E74"/>
    <w:rsid w:val="00791200"/>
    <w:rsid w:val="00792334"/>
    <w:rsid w:val="007926F2"/>
    <w:rsid w:val="00792FCD"/>
    <w:rsid w:val="00793722"/>
    <w:rsid w:val="0079372E"/>
    <w:rsid w:val="00793C0D"/>
    <w:rsid w:val="00795B18"/>
    <w:rsid w:val="00795BCB"/>
    <w:rsid w:val="00796140"/>
    <w:rsid w:val="007970B0"/>
    <w:rsid w:val="0079788C"/>
    <w:rsid w:val="007A0411"/>
    <w:rsid w:val="007A0C69"/>
    <w:rsid w:val="007A51AA"/>
    <w:rsid w:val="007A6074"/>
    <w:rsid w:val="007A66DE"/>
    <w:rsid w:val="007A6A16"/>
    <w:rsid w:val="007A6C95"/>
    <w:rsid w:val="007A724A"/>
    <w:rsid w:val="007B0EFF"/>
    <w:rsid w:val="007B24F5"/>
    <w:rsid w:val="007B2D3C"/>
    <w:rsid w:val="007B330A"/>
    <w:rsid w:val="007B3392"/>
    <w:rsid w:val="007B5192"/>
    <w:rsid w:val="007B55BB"/>
    <w:rsid w:val="007B5CFB"/>
    <w:rsid w:val="007B613E"/>
    <w:rsid w:val="007B792E"/>
    <w:rsid w:val="007C2FF3"/>
    <w:rsid w:val="007C6419"/>
    <w:rsid w:val="007C64E4"/>
    <w:rsid w:val="007C658F"/>
    <w:rsid w:val="007D20BF"/>
    <w:rsid w:val="007D2B49"/>
    <w:rsid w:val="007D2DEA"/>
    <w:rsid w:val="007D3D4B"/>
    <w:rsid w:val="007D40DB"/>
    <w:rsid w:val="007D57D4"/>
    <w:rsid w:val="007D584B"/>
    <w:rsid w:val="007D7770"/>
    <w:rsid w:val="007D7B4A"/>
    <w:rsid w:val="007D7F35"/>
    <w:rsid w:val="007E086A"/>
    <w:rsid w:val="007E098F"/>
    <w:rsid w:val="007E0DC0"/>
    <w:rsid w:val="007E13A4"/>
    <w:rsid w:val="007E15B4"/>
    <w:rsid w:val="007E1ECB"/>
    <w:rsid w:val="007E4057"/>
    <w:rsid w:val="007E4FD4"/>
    <w:rsid w:val="007E5F65"/>
    <w:rsid w:val="007F00C4"/>
    <w:rsid w:val="007F015D"/>
    <w:rsid w:val="007F0EF3"/>
    <w:rsid w:val="007F1AC6"/>
    <w:rsid w:val="007F2F27"/>
    <w:rsid w:val="007F3CBF"/>
    <w:rsid w:val="007F3FF3"/>
    <w:rsid w:val="007F4C43"/>
    <w:rsid w:val="007F5B3A"/>
    <w:rsid w:val="007F61D0"/>
    <w:rsid w:val="007F65A1"/>
    <w:rsid w:val="007F7178"/>
    <w:rsid w:val="007F762F"/>
    <w:rsid w:val="007F7A37"/>
    <w:rsid w:val="008006D8"/>
    <w:rsid w:val="00800F9C"/>
    <w:rsid w:val="00801A93"/>
    <w:rsid w:val="008039F0"/>
    <w:rsid w:val="00804038"/>
    <w:rsid w:val="00804FB5"/>
    <w:rsid w:val="00804FD1"/>
    <w:rsid w:val="0080506F"/>
    <w:rsid w:val="00805308"/>
    <w:rsid w:val="00805348"/>
    <w:rsid w:val="00805771"/>
    <w:rsid w:val="00806934"/>
    <w:rsid w:val="00806D33"/>
    <w:rsid w:val="008077D2"/>
    <w:rsid w:val="00807832"/>
    <w:rsid w:val="00807BBC"/>
    <w:rsid w:val="008106A3"/>
    <w:rsid w:val="00810A8D"/>
    <w:rsid w:val="00810D55"/>
    <w:rsid w:val="00810F19"/>
    <w:rsid w:val="00813372"/>
    <w:rsid w:val="008151A0"/>
    <w:rsid w:val="00817230"/>
    <w:rsid w:val="00817828"/>
    <w:rsid w:val="008179F9"/>
    <w:rsid w:val="00817A8D"/>
    <w:rsid w:val="00817EC4"/>
    <w:rsid w:val="00820143"/>
    <w:rsid w:val="008213F5"/>
    <w:rsid w:val="00821B77"/>
    <w:rsid w:val="00821CD9"/>
    <w:rsid w:val="008220F7"/>
    <w:rsid w:val="00822AF1"/>
    <w:rsid w:val="00822EDA"/>
    <w:rsid w:val="0082440A"/>
    <w:rsid w:val="008249BE"/>
    <w:rsid w:val="00824A0D"/>
    <w:rsid w:val="00824BC4"/>
    <w:rsid w:val="00824F16"/>
    <w:rsid w:val="00824F67"/>
    <w:rsid w:val="00825E64"/>
    <w:rsid w:val="00826376"/>
    <w:rsid w:val="00830479"/>
    <w:rsid w:val="00830B78"/>
    <w:rsid w:val="00831C73"/>
    <w:rsid w:val="00831ED5"/>
    <w:rsid w:val="008321A0"/>
    <w:rsid w:val="008328E9"/>
    <w:rsid w:val="00834277"/>
    <w:rsid w:val="0083559D"/>
    <w:rsid w:val="00836173"/>
    <w:rsid w:val="00841BA7"/>
    <w:rsid w:val="00842132"/>
    <w:rsid w:val="00843ED7"/>
    <w:rsid w:val="008441DE"/>
    <w:rsid w:val="00844726"/>
    <w:rsid w:val="00844CFC"/>
    <w:rsid w:val="00844D3B"/>
    <w:rsid w:val="008462FE"/>
    <w:rsid w:val="008473C8"/>
    <w:rsid w:val="008474FD"/>
    <w:rsid w:val="0085118E"/>
    <w:rsid w:val="0085142C"/>
    <w:rsid w:val="00851A95"/>
    <w:rsid w:val="00852DCA"/>
    <w:rsid w:val="00856B7C"/>
    <w:rsid w:val="00856DD9"/>
    <w:rsid w:val="00857CE6"/>
    <w:rsid w:val="00860414"/>
    <w:rsid w:val="008618CB"/>
    <w:rsid w:val="008634CD"/>
    <w:rsid w:val="008648F1"/>
    <w:rsid w:val="00864C4D"/>
    <w:rsid w:val="00866542"/>
    <w:rsid w:val="0086684A"/>
    <w:rsid w:val="00871A21"/>
    <w:rsid w:val="00873C3E"/>
    <w:rsid w:val="00873F67"/>
    <w:rsid w:val="00873FF2"/>
    <w:rsid w:val="008746B5"/>
    <w:rsid w:val="008753E1"/>
    <w:rsid w:val="0087753B"/>
    <w:rsid w:val="008832F8"/>
    <w:rsid w:val="008847DC"/>
    <w:rsid w:val="008850EF"/>
    <w:rsid w:val="008858D1"/>
    <w:rsid w:val="00885EA5"/>
    <w:rsid w:val="008865F4"/>
    <w:rsid w:val="00886FBA"/>
    <w:rsid w:val="00887A46"/>
    <w:rsid w:val="00892845"/>
    <w:rsid w:val="00892AFD"/>
    <w:rsid w:val="008931CC"/>
    <w:rsid w:val="008932FB"/>
    <w:rsid w:val="00893CD9"/>
    <w:rsid w:val="0089490E"/>
    <w:rsid w:val="00895140"/>
    <w:rsid w:val="00895AF6"/>
    <w:rsid w:val="00895EE1"/>
    <w:rsid w:val="00896221"/>
    <w:rsid w:val="008968CE"/>
    <w:rsid w:val="00897359"/>
    <w:rsid w:val="00897744"/>
    <w:rsid w:val="008A0E05"/>
    <w:rsid w:val="008A26E2"/>
    <w:rsid w:val="008A3002"/>
    <w:rsid w:val="008A397D"/>
    <w:rsid w:val="008A63E4"/>
    <w:rsid w:val="008A6ACD"/>
    <w:rsid w:val="008A7302"/>
    <w:rsid w:val="008B1419"/>
    <w:rsid w:val="008B1D69"/>
    <w:rsid w:val="008B2962"/>
    <w:rsid w:val="008B2CEF"/>
    <w:rsid w:val="008B382F"/>
    <w:rsid w:val="008B38C9"/>
    <w:rsid w:val="008B3D5C"/>
    <w:rsid w:val="008B7BC9"/>
    <w:rsid w:val="008C1804"/>
    <w:rsid w:val="008C207B"/>
    <w:rsid w:val="008C25C6"/>
    <w:rsid w:val="008C3D7E"/>
    <w:rsid w:val="008C3DE4"/>
    <w:rsid w:val="008C4D0D"/>
    <w:rsid w:val="008C5147"/>
    <w:rsid w:val="008C5331"/>
    <w:rsid w:val="008C5486"/>
    <w:rsid w:val="008C6625"/>
    <w:rsid w:val="008C7B2D"/>
    <w:rsid w:val="008D1585"/>
    <w:rsid w:val="008D2886"/>
    <w:rsid w:val="008D2978"/>
    <w:rsid w:val="008D3D31"/>
    <w:rsid w:val="008D6D32"/>
    <w:rsid w:val="008D76E3"/>
    <w:rsid w:val="008D789D"/>
    <w:rsid w:val="008D7EF0"/>
    <w:rsid w:val="008E0215"/>
    <w:rsid w:val="008E0A1C"/>
    <w:rsid w:val="008E0E05"/>
    <w:rsid w:val="008E1AC0"/>
    <w:rsid w:val="008E1D72"/>
    <w:rsid w:val="008E369E"/>
    <w:rsid w:val="008E6998"/>
    <w:rsid w:val="008E720E"/>
    <w:rsid w:val="008E77E2"/>
    <w:rsid w:val="008E7CEA"/>
    <w:rsid w:val="008F0698"/>
    <w:rsid w:val="008F10B8"/>
    <w:rsid w:val="008F13CC"/>
    <w:rsid w:val="008F13F2"/>
    <w:rsid w:val="008F2A5D"/>
    <w:rsid w:val="008F4640"/>
    <w:rsid w:val="008F5F8E"/>
    <w:rsid w:val="008F682E"/>
    <w:rsid w:val="008F6BD2"/>
    <w:rsid w:val="008F79A3"/>
    <w:rsid w:val="008F7B07"/>
    <w:rsid w:val="008F7B43"/>
    <w:rsid w:val="00900246"/>
    <w:rsid w:val="00900571"/>
    <w:rsid w:val="00900990"/>
    <w:rsid w:val="00901A5B"/>
    <w:rsid w:val="00901C9E"/>
    <w:rsid w:val="00902060"/>
    <w:rsid w:val="00902479"/>
    <w:rsid w:val="00902A5B"/>
    <w:rsid w:val="00902D41"/>
    <w:rsid w:val="00902D64"/>
    <w:rsid w:val="00902E5F"/>
    <w:rsid w:val="00903459"/>
    <w:rsid w:val="009035EA"/>
    <w:rsid w:val="00904752"/>
    <w:rsid w:val="00904BE6"/>
    <w:rsid w:val="0090734E"/>
    <w:rsid w:val="009076A7"/>
    <w:rsid w:val="00912054"/>
    <w:rsid w:val="00912510"/>
    <w:rsid w:val="00912D30"/>
    <w:rsid w:val="00912FB4"/>
    <w:rsid w:val="00914CA7"/>
    <w:rsid w:val="00914E35"/>
    <w:rsid w:val="00915589"/>
    <w:rsid w:val="00915CF4"/>
    <w:rsid w:val="00916AC0"/>
    <w:rsid w:val="009170C0"/>
    <w:rsid w:val="0091772D"/>
    <w:rsid w:val="00917CFF"/>
    <w:rsid w:val="00920310"/>
    <w:rsid w:val="00920316"/>
    <w:rsid w:val="009205DA"/>
    <w:rsid w:val="00922D59"/>
    <w:rsid w:val="009231B3"/>
    <w:rsid w:val="0092395E"/>
    <w:rsid w:val="00924023"/>
    <w:rsid w:val="009243D3"/>
    <w:rsid w:val="009254ED"/>
    <w:rsid w:val="009259FA"/>
    <w:rsid w:val="00930254"/>
    <w:rsid w:val="009307C6"/>
    <w:rsid w:val="00931968"/>
    <w:rsid w:val="0093330F"/>
    <w:rsid w:val="0093364F"/>
    <w:rsid w:val="009336C7"/>
    <w:rsid w:val="009336D5"/>
    <w:rsid w:val="00934538"/>
    <w:rsid w:val="00934994"/>
    <w:rsid w:val="00934CFF"/>
    <w:rsid w:val="009357E0"/>
    <w:rsid w:val="00935C5E"/>
    <w:rsid w:val="0094153D"/>
    <w:rsid w:val="009431CB"/>
    <w:rsid w:val="00944186"/>
    <w:rsid w:val="009450F7"/>
    <w:rsid w:val="009455AE"/>
    <w:rsid w:val="009476B7"/>
    <w:rsid w:val="00950791"/>
    <w:rsid w:val="00951EB5"/>
    <w:rsid w:val="00952755"/>
    <w:rsid w:val="00952F16"/>
    <w:rsid w:val="0095318A"/>
    <w:rsid w:val="00953603"/>
    <w:rsid w:val="00953D4F"/>
    <w:rsid w:val="00953D99"/>
    <w:rsid w:val="00953FD8"/>
    <w:rsid w:val="009540B3"/>
    <w:rsid w:val="009545F5"/>
    <w:rsid w:val="00955AF4"/>
    <w:rsid w:val="00956B9C"/>
    <w:rsid w:val="00957AAA"/>
    <w:rsid w:val="009611DC"/>
    <w:rsid w:val="009614B9"/>
    <w:rsid w:val="00961B5B"/>
    <w:rsid w:val="00961C6D"/>
    <w:rsid w:val="009625BD"/>
    <w:rsid w:val="009657AC"/>
    <w:rsid w:val="00965AB4"/>
    <w:rsid w:val="00967E3C"/>
    <w:rsid w:val="00970247"/>
    <w:rsid w:val="00970DDE"/>
    <w:rsid w:val="00971EC1"/>
    <w:rsid w:val="00972B53"/>
    <w:rsid w:val="00972BBD"/>
    <w:rsid w:val="00973CD7"/>
    <w:rsid w:val="009759EB"/>
    <w:rsid w:val="00976444"/>
    <w:rsid w:val="00976F6D"/>
    <w:rsid w:val="00977021"/>
    <w:rsid w:val="00980864"/>
    <w:rsid w:val="00980F90"/>
    <w:rsid w:val="00981010"/>
    <w:rsid w:val="0098419E"/>
    <w:rsid w:val="009848B7"/>
    <w:rsid w:val="00985049"/>
    <w:rsid w:val="00985097"/>
    <w:rsid w:val="0098525D"/>
    <w:rsid w:val="00990942"/>
    <w:rsid w:val="009911AA"/>
    <w:rsid w:val="009922DE"/>
    <w:rsid w:val="00992537"/>
    <w:rsid w:val="00994401"/>
    <w:rsid w:val="00994748"/>
    <w:rsid w:val="00994BD6"/>
    <w:rsid w:val="0099727E"/>
    <w:rsid w:val="00997FE2"/>
    <w:rsid w:val="009A0A1F"/>
    <w:rsid w:val="009A1131"/>
    <w:rsid w:val="009A12C4"/>
    <w:rsid w:val="009A32D4"/>
    <w:rsid w:val="009A36A4"/>
    <w:rsid w:val="009A4BB3"/>
    <w:rsid w:val="009A530D"/>
    <w:rsid w:val="009A5BC0"/>
    <w:rsid w:val="009A5E5C"/>
    <w:rsid w:val="009A6363"/>
    <w:rsid w:val="009A7D5D"/>
    <w:rsid w:val="009A7F7B"/>
    <w:rsid w:val="009B0B41"/>
    <w:rsid w:val="009B179B"/>
    <w:rsid w:val="009B1E73"/>
    <w:rsid w:val="009B29BE"/>
    <w:rsid w:val="009B40E2"/>
    <w:rsid w:val="009B6C6A"/>
    <w:rsid w:val="009B7A54"/>
    <w:rsid w:val="009C0036"/>
    <w:rsid w:val="009C0E3E"/>
    <w:rsid w:val="009C1580"/>
    <w:rsid w:val="009C2DEE"/>
    <w:rsid w:val="009C2EB5"/>
    <w:rsid w:val="009C4A2D"/>
    <w:rsid w:val="009C5274"/>
    <w:rsid w:val="009C6772"/>
    <w:rsid w:val="009C79C1"/>
    <w:rsid w:val="009D20D4"/>
    <w:rsid w:val="009D2762"/>
    <w:rsid w:val="009D397B"/>
    <w:rsid w:val="009D43FF"/>
    <w:rsid w:val="009D75AF"/>
    <w:rsid w:val="009D7F72"/>
    <w:rsid w:val="009E040B"/>
    <w:rsid w:val="009E108F"/>
    <w:rsid w:val="009E12F9"/>
    <w:rsid w:val="009E181A"/>
    <w:rsid w:val="009E25FD"/>
    <w:rsid w:val="009E5265"/>
    <w:rsid w:val="009E5FE7"/>
    <w:rsid w:val="009E60CC"/>
    <w:rsid w:val="009E61D7"/>
    <w:rsid w:val="009E719F"/>
    <w:rsid w:val="009E7215"/>
    <w:rsid w:val="009E7D27"/>
    <w:rsid w:val="009F143B"/>
    <w:rsid w:val="009F1664"/>
    <w:rsid w:val="009F2F70"/>
    <w:rsid w:val="009F42A9"/>
    <w:rsid w:val="009F530F"/>
    <w:rsid w:val="009F7637"/>
    <w:rsid w:val="00A00A3F"/>
    <w:rsid w:val="00A02026"/>
    <w:rsid w:val="00A023A8"/>
    <w:rsid w:val="00A02D07"/>
    <w:rsid w:val="00A052A2"/>
    <w:rsid w:val="00A0564E"/>
    <w:rsid w:val="00A05A8F"/>
    <w:rsid w:val="00A069F9"/>
    <w:rsid w:val="00A06B3D"/>
    <w:rsid w:val="00A074B4"/>
    <w:rsid w:val="00A0798A"/>
    <w:rsid w:val="00A07AE0"/>
    <w:rsid w:val="00A10DD2"/>
    <w:rsid w:val="00A116C5"/>
    <w:rsid w:val="00A12A72"/>
    <w:rsid w:val="00A13AED"/>
    <w:rsid w:val="00A13D69"/>
    <w:rsid w:val="00A148CB"/>
    <w:rsid w:val="00A16F24"/>
    <w:rsid w:val="00A174A4"/>
    <w:rsid w:val="00A174FC"/>
    <w:rsid w:val="00A17718"/>
    <w:rsid w:val="00A177AD"/>
    <w:rsid w:val="00A17A7D"/>
    <w:rsid w:val="00A17B4F"/>
    <w:rsid w:val="00A17C73"/>
    <w:rsid w:val="00A2020B"/>
    <w:rsid w:val="00A205AE"/>
    <w:rsid w:val="00A209F6"/>
    <w:rsid w:val="00A21033"/>
    <w:rsid w:val="00A21B14"/>
    <w:rsid w:val="00A2253E"/>
    <w:rsid w:val="00A22644"/>
    <w:rsid w:val="00A22796"/>
    <w:rsid w:val="00A22A94"/>
    <w:rsid w:val="00A23C00"/>
    <w:rsid w:val="00A23EB4"/>
    <w:rsid w:val="00A245A2"/>
    <w:rsid w:val="00A254CF"/>
    <w:rsid w:val="00A25B0A"/>
    <w:rsid w:val="00A317F5"/>
    <w:rsid w:val="00A326E4"/>
    <w:rsid w:val="00A32D44"/>
    <w:rsid w:val="00A33040"/>
    <w:rsid w:val="00A33C12"/>
    <w:rsid w:val="00A35638"/>
    <w:rsid w:val="00A40C9D"/>
    <w:rsid w:val="00A40F87"/>
    <w:rsid w:val="00A427B8"/>
    <w:rsid w:val="00A43517"/>
    <w:rsid w:val="00A438FE"/>
    <w:rsid w:val="00A4415C"/>
    <w:rsid w:val="00A455ED"/>
    <w:rsid w:val="00A45F3E"/>
    <w:rsid w:val="00A46109"/>
    <w:rsid w:val="00A46EE5"/>
    <w:rsid w:val="00A500FF"/>
    <w:rsid w:val="00A50BD4"/>
    <w:rsid w:val="00A515A5"/>
    <w:rsid w:val="00A51940"/>
    <w:rsid w:val="00A5420C"/>
    <w:rsid w:val="00A545B6"/>
    <w:rsid w:val="00A55DAE"/>
    <w:rsid w:val="00A55EA1"/>
    <w:rsid w:val="00A5773C"/>
    <w:rsid w:val="00A57A14"/>
    <w:rsid w:val="00A60B81"/>
    <w:rsid w:val="00A62171"/>
    <w:rsid w:val="00A63279"/>
    <w:rsid w:val="00A633AF"/>
    <w:rsid w:val="00A63510"/>
    <w:rsid w:val="00A640A2"/>
    <w:rsid w:val="00A64979"/>
    <w:rsid w:val="00A65037"/>
    <w:rsid w:val="00A672C9"/>
    <w:rsid w:val="00A6780D"/>
    <w:rsid w:val="00A6781E"/>
    <w:rsid w:val="00A67F43"/>
    <w:rsid w:val="00A70254"/>
    <w:rsid w:val="00A711E3"/>
    <w:rsid w:val="00A719CB"/>
    <w:rsid w:val="00A71D22"/>
    <w:rsid w:val="00A72121"/>
    <w:rsid w:val="00A73159"/>
    <w:rsid w:val="00A73426"/>
    <w:rsid w:val="00A74FAB"/>
    <w:rsid w:val="00A751FA"/>
    <w:rsid w:val="00A75491"/>
    <w:rsid w:val="00A75CA6"/>
    <w:rsid w:val="00A75CB3"/>
    <w:rsid w:val="00A772AE"/>
    <w:rsid w:val="00A77DDE"/>
    <w:rsid w:val="00A80375"/>
    <w:rsid w:val="00A8054F"/>
    <w:rsid w:val="00A80FEC"/>
    <w:rsid w:val="00A8123C"/>
    <w:rsid w:val="00A813A5"/>
    <w:rsid w:val="00A81744"/>
    <w:rsid w:val="00A8483F"/>
    <w:rsid w:val="00A866DE"/>
    <w:rsid w:val="00A90378"/>
    <w:rsid w:val="00A90604"/>
    <w:rsid w:val="00A911C5"/>
    <w:rsid w:val="00A92701"/>
    <w:rsid w:val="00A92DAF"/>
    <w:rsid w:val="00A932DB"/>
    <w:rsid w:val="00A94ECD"/>
    <w:rsid w:val="00A9567D"/>
    <w:rsid w:val="00A97664"/>
    <w:rsid w:val="00AA1E45"/>
    <w:rsid w:val="00AA1F20"/>
    <w:rsid w:val="00AA2D3A"/>
    <w:rsid w:val="00AA5269"/>
    <w:rsid w:val="00AA5E32"/>
    <w:rsid w:val="00AA74D7"/>
    <w:rsid w:val="00AA7B0E"/>
    <w:rsid w:val="00AA7EA9"/>
    <w:rsid w:val="00AB0801"/>
    <w:rsid w:val="00AB221A"/>
    <w:rsid w:val="00AB274F"/>
    <w:rsid w:val="00AB4886"/>
    <w:rsid w:val="00AB4E74"/>
    <w:rsid w:val="00AB4F39"/>
    <w:rsid w:val="00AB5B66"/>
    <w:rsid w:val="00AB5F26"/>
    <w:rsid w:val="00AB6270"/>
    <w:rsid w:val="00AB71D2"/>
    <w:rsid w:val="00AC198A"/>
    <w:rsid w:val="00AC2B2A"/>
    <w:rsid w:val="00AC3862"/>
    <w:rsid w:val="00AC67CA"/>
    <w:rsid w:val="00AC6AA0"/>
    <w:rsid w:val="00AC6F7A"/>
    <w:rsid w:val="00AC6FC4"/>
    <w:rsid w:val="00AC779B"/>
    <w:rsid w:val="00AD0C62"/>
    <w:rsid w:val="00AD1CD8"/>
    <w:rsid w:val="00AD4439"/>
    <w:rsid w:val="00AD4983"/>
    <w:rsid w:val="00AD7E7D"/>
    <w:rsid w:val="00AE07B7"/>
    <w:rsid w:val="00AE2971"/>
    <w:rsid w:val="00AE2AF0"/>
    <w:rsid w:val="00AE3657"/>
    <w:rsid w:val="00AE3DE8"/>
    <w:rsid w:val="00AE5977"/>
    <w:rsid w:val="00AE5C14"/>
    <w:rsid w:val="00AE5C2B"/>
    <w:rsid w:val="00AE6164"/>
    <w:rsid w:val="00AE6616"/>
    <w:rsid w:val="00AE6F19"/>
    <w:rsid w:val="00AE7655"/>
    <w:rsid w:val="00AE7B10"/>
    <w:rsid w:val="00AF0AF5"/>
    <w:rsid w:val="00AF1336"/>
    <w:rsid w:val="00AF1664"/>
    <w:rsid w:val="00AF37B9"/>
    <w:rsid w:val="00AF3C23"/>
    <w:rsid w:val="00AF5109"/>
    <w:rsid w:val="00B01B10"/>
    <w:rsid w:val="00B0313E"/>
    <w:rsid w:val="00B04E8A"/>
    <w:rsid w:val="00B07598"/>
    <w:rsid w:val="00B10B2B"/>
    <w:rsid w:val="00B10C47"/>
    <w:rsid w:val="00B13768"/>
    <w:rsid w:val="00B13D5A"/>
    <w:rsid w:val="00B1511D"/>
    <w:rsid w:val="00B160FF"/>
    <w:rsid w:val="00B167A5"/>
    <w:rsid w:val="00B16832"/>
    <w:rsid w:val="00B17262"/>
    <w:rsid w:val="00B17912"/>
    <w:rsid w:val="00B201EE"/>
    <w:rsid w:val="00B206AB"/>
    <w:rsid w:val="00B22655"/>
    <w:rsid w:val="00B22DE7"/>
    <w:rsid w:val="00B23483"/>
    <w:rsid w:val="00B23A69"/>
    <w:rsid w:val="00B245AB"/>
    <w:rsid w:val="00B2583C"/>
    <w:rsid w:val="00B25AA0"/>
    <w:rsid w:val="00B25BAB"/>
    <w:rsid w:val="00B260BA"/>
    <w:rsid w:val="00B26136"/>
    <w:rsid w:val="00B26BE5"/>
    <w:rsid w:val="00B275CC"/>
    <w:rsid w:val="00B2769E"/>
    <w:rsid w:val="00B301A6"/>
    <w:rsid w:val="00B302B9"/>
    <w:rsid w:val="00B3035F"/>
    <w:rsid w:val="00B30553"/>
    <w:rsid w:val="00B31CB8"/>
    <w:rsid w:val="00B31F85"/>
    <w:rsid w:val="00B33990"/>
    <w:rsid w:val="00B33AB1"/>
    <w:rsid w:val="00B3408E"/>
    <w:rsid w:val="00B35352"/>
    <w:rsid w:val="00B35DF2"/>
    <w:rsid w:val="00B35EE6"/>
    <w:rsid w:val="00B36414"/>
    <w:rsid w:val="00B36ED6"/>
    <w:rsid w:val="00B36FE3"/>
    <w:rsid w:val="00B37C3B"/>
    <w:rsid w:val="00B4135E"/>
    <w:rsid w:val="00B42595"/>
    <w:rsid w:val="00B42FDA"/>
    <w:rsid w:val="00B4386D"/>
    <w:rsid w:val="00B43D86"/>
    <w:rsid w:val="00B446F3"/>
    <w:rsid w:val="00B474F0"/>
    <w:rsid w:val="00B47AA5"/>
    <w:rsid w:val="00B51C14"/>
    <w:rsid w:val="00B52B33"/>
    <w:rsid w:val="00B52F51"/>
    <w:rsid w:val="00B535DF"/>
    <w:rsid w:val="00B53B58"/>
    <w:rsid w:val="00B53EB6"/>
    <w:rsid w:val="00B54AF8"/>
    <w:rsid w:val="00B552BB"/>
    <w:rsid w:val="00B55C65"/>
    <w:rsid w:val="00B563D4"/>
    <w:rsid w:val="00B57615"/>
    <w:rsid w:val="00B609BC"/>
    <w:rsid w:val="00B61939"/>
    <w:rsid w:val="00B62C7E"/>
    <w:rsid w:val="00B6330B"/>
    <w:rsid w:val="00B63F50"/>
    <w:rsid w:val="00B64EFE"/>
    <w:rsid w:val="00B65159"/>
    <w:rsid w:val="00B66178"/>
    <w:rsid w:val="00B66B46"/>
    <w:rsid w:val="00B66D0E"/>
    <w:rsid w:val="00B66D7B"/>
    <w:rsid w:val="00B67007"/>
    <w:rsid w:val="00B701C5"/>
    <w:rsid w:val="00B7127A"/>
    <w:rsid w:val="00B712C5"/>
    <w:rsid w:val="00B718AC"/>
    <w:rsid w:val="00B71DD3"/>
    <w:rsid w:val="00B722FE"/>
    <w:rsid w:val="00B76B52"/>
    <w:rsid w:val="00B8030E"/>
    <w:rsid w:val="00B80FF2"/>
    <w:rsid w:val="00B82ED6"/>
    <w:rsid w:val="00B83205"/>
    <w:rsid w:val="00B835E8"/>
    <w:rsid w:val="00B839B0"/>
    <w:rsid w:val="00B849FF"/>
    <w:rsid w:val="00B86B36"/>
    <w:rsid w:val="00B90992"/>
    <w:rsid w:val="00B90CCB"/>
    <w:rsid w:val="00B9156A"/>
    <w:rsid w:val="00B91C6E"/>
    <w:rsid w:val="00B928F9"/>
    <w:rsid w:val="00B92D5A"/>
    <w:rsid w:val="00B93665"/>
    <w:rsid w:val="00B937C3"/>
    <w:rsid w:val="00B938DC"/>
    <w:rsid w:val="00B93F55"/>
    <w:rsid w:val="00B95B1F"/>
    <w:rsid w:val="00B968AA"/>
    <w:rsid w:val="00B9710B"/>
    <w:rsid w:val="00BA0B92"/>
    <w:rsid w:val="00BA0C70"/>
    <w:rsid w:val="00BA23E5"/>
    <w:rsid w:val="00BA2757"/>
    <w:rsid w:val="00BA3A6A"/>
    <w:rsid w:val="00BA3CBD"/>
    <w:rsid w:val="00BA4130"/>
    <w:rsid w:val="00BA42CD"/>
    <w:rsid w:val="00BA4824"/>
    <w:rsid w:val="00BA4B90"/>
    <w:rsid w:val="00BA6B99"/>
    <w:rsid w:val="00BA7049"/>
    <w:rsid w:val="00BA771E"/>
    <w:rsid w:val="00BB0753"/>
    <w:rsid w:val="00BB18F2"/>
    <w:rsid w:val="00BB2C25"/>
    <w:rsid w:val="00BB2F09"/>
    <w:rsid w:val="00BB3212"/>
    <w:rsid w:val="00BB3CAB"/>
    <w:rsid w:val="00BB43C6"/>
    <w:rsid w:val="00BB4472"/>
    <w:rsid w:val="00BB639E"/>
    <w:rsid w:val="00BB65E6"/>
    <w:rsid w:val="00BC0B01"/>
    <w:rsid w:val="00BC2661"/>
    <w:rsid w:val="00BC3ACB"/>
    <w:rsid w:val="00BC3E5E"/>
    <w:rsid w:val="00BC4133"/>
    <w:rsid w:val="00BC43E6"/>
    <w:rsid w:val="00BC4720"/>
    <w:rsid w:val="00BC576C"/>
    <w:rsid w:val="00BC594F"/>
    <w:rsid w:val="00BC610C"/>
    <w:rsid w:val="00BC6AB5"/>
    <w:rsid w:val="00BD3875"/>
    <w:rsid w:val="00BD4B00"/>
    <w:rsid w:val="00BD58B2"/>
    <w:rsid w:val="00BD6526"/>
    <w:rsid w:val="00BD7047"/>
    <w:rsid w:val="00BD79DD"/>
    <w:rsid w:val="00BD7B60"/>
    <w:rsid w:val="00BE13D3"/>
    <w:rsid w:val="00BE21D7"/>
    <w:rsid w:val="00BE343C"/>
    <w:rsid w:val="00BE4440"/>
    <w:rsid w:val="00BE459E"/>
    <w:rsid w:val="00BE4F0D"/>
    <w:rsid w:val="00BE520C"/>
    <w:rsid w:val="00BE6FC4"/>
    <w:rsid w:val="00BE721E"/>
    <w:rsid w:val="00BE750A"/>
    <w:rsid w:val="00BE76C1"/>
    <w:rsid w:val="00BF03A6"/>
    <w:rsid w:val="00BF10E1"/>
    <w:rsid w:val="00BF13F1"/>
    <w:rsid w:val="00BF1BE6"/>
    <w:rsid w:val="00BF2E27"/>
    <w:rsid w:val="00BF30A9"/>
    <w:rsid w:val="00BF3B89"/>
    <w:rsid w:val="00BF3FCB"/>
    <w:rsid w:val="00BF6622"/>
    <w:rsid w:val="00BF7806"/>
    <w:rsid w:val="00BF7F23"/>
    <w:rsid w:val="00C0056A"/>
    <w:rsid w:val="00C009B2"/>
    <w:rsid w:val="00C038A6"/>
    <w:rsid w:val="00C04D57"/>
    <w:rsid w:val="00C0765C"/>
    <w:rsid w:val="00C102E5"/>
    <w:rsid w:val="00C116E6"/>
    <w:rsid w:val="00C11A3C"/>
    <w:rsid w:val="00C11B62"/>
    <w:rsid w:val="00C13432"/>
    <w:rsid w:val="00C1372B"/>
    <w:rsid w:val="00C13B01"/>
    <w:rsid w:val="00C14773"/>
    <w:rsid w:val="00C15767"/>
    <w:rsid w:val="00C15C32"/>
    <w:rsid w:val="00C163C2"/>
    <w:rsid w:val="00C170B7"/>
    <w:rsid w:val="00C177DA"/>
    <w:rsid w:val="00C209FA"/>
    <w:rsid w:val="00C20C24"/>
    <w:rsid w:val="00C211F3"/>
    <w:rsid w:val="00C21933"/>
    <w:rsid w:val="00C2244B"/>
    <w:rsid w:val="00C226BD"/>
    <w:rsid w:val="00C22796"/>
    <w:rsid w:val="00C22CFD"/>
    <w:rsid w:val="00C233A4"/>
    <w:rsid w:val="00C2418D"/>
    <w:rsid w:val="00C247B6"/>
    <w:rsid w:val="00C24C12"/>
    <w:rsid w:val="00C26325"/>
    <w:rsid w:val="00C264ED"/>
    <w:rsid w:val="00C26D1F"/>
    <w:rsid w:val="00C26DB6"/>
    <w:rsid w:val="00C27BEA"/>
    <w:rsid w:val="00C302D0"/>
    <w:rsid w:val="00C30BDD"/>
    <w:rsid w:val="00C30F62"/>
    <w:rsid w:val="00C319A5"/>
    <w:rsid w:val="00C34AAA"/>
    <w:rsid w:val="00C40C60"/>
    <w:rsid w:val="00C42330"/>
    <w:rsid w:val="00C42A82"/>
    <w:rsid w:val="00C42B1B"/>
    <w:rsid w:val="00C439B6"/>
    <w:rsid w:val="00C43A8C"/>
    <w:rsid w:val="00C44BBF"/>
    <w:rsid w:val="00C45012"/>
    <w:rsid w:val="00C463CE"/>
    <w:rsid w:val="00C46772"/>
    <w:rsid w:val="00C47053"/>
    <w:rsid w:val="00C47119"/>
    <w:rsid w:val="00C507B9"/>
    <w:rsid w:val="00C5319A"/>
    <w:rsid w:val="00C5346B"/>
    <w:rsid w:val="00C539E6"/>
    <w:rsid w:val="00C57833"/>
    <w:rsid w:val="00C57D5C"/>
    <w:rsid w:val="00C57DB4"/>
    <w:rsid w:val="00C60B35"/>
    <w:rsid w:val="00C60ECA"/>
    <w:rsid w:val="00C60F15"/>
    <w:rsid w:val="00C61243"/>
    <w:rsid w:val="00C6139A"/>
    <w:rsid w:val="00C6304B"/>
    <w:rsid w:val="00C641A0"/>
    <w:rsid w:val="00C65365"/>
    <w:rsid w:val="00C65D18"/>
    <w:rsid w:val="00C662E6"/>
    <w:rsid w:val="00C66B0C"/>
    <w:rsid w:val="00C7051D"/>
    <w:rsid w:val="00C722C8"/>
    <w:rsid w:val="00C73A3A"/>
    <w:rsid w:val="00C73EFB"/>
    <w:rsid w:val="00C74005"/>
    <w:rsid w:val="00C74501"/>
    <w:rsid w:val="00C74657"/>
    <w:rsid w:val="00C7629C"/>
    <w:rsid w:val="00C7693D"/>
    <w:rsid w:val="00C777BF"/>
    <w:rsid w:val="00C8169D"/>
    <w:rsid w:val="00C82C7B"/>
    <w:rsid w:val="00C83570"/>
    <w:rsid w:val="00C85EC8"/>
    <w:rsid w:val="00C86775"/>
    <w:rsid w:val="00C86C62"/>
    <w:rsid w:val="00C86E9B"/>
    <w:rsid w:val="00C877E8"/>
    <w:rsid w:val="00C9013B"/>
    <w:rsid w:val="00C90398"/>
    <w:rsid w:val="00C9051A"/>
    <w:rsid w:val="00C9055C"/>
    <w:rsid w:val="00C92D92"/>
    <w:rsid w:val="00C93017"/>
    <w:rsid w:val="00C94C28"/>
    <w:rsid w:val="00C94E51"/>
    <w:rsid w:val="00C959D6"/>
    <w:rsid w:val="00C95BE2"/>
    <w:rsid w:val="00C97BF9"/>
    <w:rsid w:val="00CA0DCF"/>
    <w:rsid w:val="00CA1014"/>
    <w:rsid w:val="00CA1138"/>
    <w:rsid w:val="00CA2FB5"/>
    <w:rsid w:val="00CA3E87"/>
    <w:rsid w:val="00CA46F9"/>
    <w:rsid w:val="00CA4793"/>
    <w:rsid w:val="00CA52C1"/>
    <w:rsid w:val="00CA5D0E"/>
    <w:rsid w:val="00CA6FCC"/>
    <w:rsid w:val="00CA7540"/>
    <w:rsid w:val="00CA7E9A"/>
    <w:rsid w:val="00CB0854"/>
    <w:rsid w:val="00CB0B0A"/>
    <w:rsid w:val="00CB2283"/>
    <w:rsid w:val="00CB295A"/>
    <w:rsid w:val="00CB36AD"/>
    <w:rsid w:val="00CB39AB"/>
    <w:rsid w:val="00CB45C2"/>
    <w:rsid w:val="00CB50A1"/>
    <w:rsid w:val="00CB5813"/>
    <w:rsid w:val="00CB6961"/>
    <w:rsid w:val="00CC02C0"/>
    <w:rsid w:val="00CC0A9A"/>
    <w:rsid w:val="00CC0AE5"/>
    <w:rsid w:val="00CC36DC"/>
    <w:rsid w:val="00CC38D7"/>
    <w:rsid w:val="00CC410F"/>
    <w:rsid w:val="00CC4110"/>
    <w:rsid w:val="00CC4E32"/>
    <w:rsid w:val="00CC5C60"/>
    <w:rsid w:val="00CC6C21"/>
    <w:rsid w:val="00CD0671"/>
    <w:rsid w:val="00CD0808"/>
    <w:rsid w:val="00CD0B4A"/>
    <w:rsid w:val="00CD0BAF"/>
    <w:rsid w:val="00CD10EC"/>
    <w:rsid w:val="00CD3A22"/>
    <w:rsid w:val="00CD3E8B"/>
    <w:rsid w:val="00CD3F4F"/>
    <w:rsid w:val="00CD40C4"/>
    <w:rsid w:val="00CD4DF5"/>
    <w:rsid w:val="00CD7C5C"/>
    <w:rsid w:val="00CE036D"/>
    <w:rsid w:val="00CE0DB6"/>
    <w:rsid w:val="00CE22B8"/>
    <w:rsid w:val="00CE3068"/>
    <w:rsid w:val="00CE3FD2"/>
    <w:rsid w:val="00CE54C2"/>
    <w:rsid w:val="00CE6189"/>
    <w:rsid w:val="00CE6751"/>
    <w:rsid w:val="00CE7141"/>
    <w:rsid w:val="00CF21D5"/>
    <w:rsid w:val="00CF2417"/>
    <w:rsid w:val="00CF26D9"/>
    <w:rsid w:val="00CF3162"/>
    <w:rsid w:val="00CF3D91"/>
    <w:rsid w:val="00CF4058"/>
    <w:rsid w:val="00CF5298"/>
    <w:rsid w:val="00CF7508"/>
    <w:rsid w:val="00D00AF5"/>
    <w:rsid w:val="00D0129A"/>
    <w:rsid w:val="00D02068"/>
    <w:rsid w:val="00D021FC"/>
    <w:rsid w:val="00D02B84"/>
    <w:rsid w:val="00D03656"/>
    <w:rsid w:val="00D03833"/>
    <w:rsid w:val="00D03E56"/>
    <w:rsid w:val="00D05012"/>
    <w:rsid w:val="00D05C2B"/>
    <w:rsid w:val="00D0629A"/>
    <w:rsid w:val="00D07080"/>
    <w:rsid w:val="00D07106"/>
    <w:rsid w:val="00D0788D"/>
    <w:rsid w:val="00D10EFC"/>
    <w:rsid w:val="00D135AD"/>
    <w:rsid w:val="00D14D4E"/>
    <w:rsid w:val="00D17568"/>
    <w:rsid w:val="00D20E60"/>
    <w:rsid w:val="00D23157"/>
    <w:rsid w:val="00D23882"/>
    <w:rsid w:val="00D23991"/>
    <w:rsid w:val="00D24774"/>
    <w:rsid w:val="00D25267"/>
    <w:rsid w:val="00D25861"/>
    <w:rsid w:val="00D26257"/>
    <w:rsid w:val="00D26601"/>
    <w:rsid w:val="00D26AA9"/>
    <w:rsid w:val="00D27679"/>
    <w:rsid w:val="00D27B74"/>
    <w:rsid w:val="00D27EF5"/>
    <w:rsid w:val="00D31598"/>
    <w:rsid w:val="00D31EF1"/>
    <w:rsid w:val="00D32C72"/>
    <w:rsid w:val="00D330D0"/>
    <w:rsid w:val="00D33264"/>
    <w:rsid w:val="00D34848"/>
    <w:rsid w:val="00D3584D"/>
    <w:rsid w:val="00D360E8"/>
    <w:rsid w:val="00D40AFE"/>
    <w:rsid w:val="00D40ED6"/>
    <w:rsid w:val="00D40FE4"/>
    <w:rsid w:val="00D42716"/>
    <w:rsid w:val="00D44E89"/>
    <w:rsid w:val="00D45888"/>
    <w:rsid w:val="00D45970"/>
    <w:rsid w:val="00D45B4E"/>
    <w:rsid w:val="00D460FB"/>
    <w:rsid w:val="00D46EA2"/>
    <w:rsid w:val="00D51338"/>
    <w:rsid w:val="00D529F8"/>
    <w:rsid w:val="00D555A5"/>
    <w:rsid w:val="00D5567B"/>
    <w:rsid w:val="00D55B3E"/>
    <w:rsid w:val="00D5617F"/>
    <w:rsid w:val="00D5645B"/>
    <w:rsid w:val="00D56C14"/>
    <w:rsid w:val="00D573E4"/>
    <w:rsid w:val="00D66E21"/>
    <w:rsid w:val="00D679B9"/>
    <w:rsid w:val="00D679E6"/>
    <w:rsid w:val="00D679F0"/>
    <w:rsid w:val="00D724E9"/>
    <w:rsid w:val="00D72C9A"/>
    <w:rsid w:val="00D7540F"/>
    <w:rsid w:val="00D76F78"/>
    <w:rsid w:val="00D774F7"/>
    <w:rsid w:val="00D77F56"/>
    <w:rsid w:val="00D801D0"/>
    <w:rsid w:val="00D816E0"/>
    <w:rsid w:val="00D81A5D"/>
    <w:rsid w:val="00D83E03"/>
    <w:rsid w:val="00D83E89"/>
    <w:rsid w:val="00D8437D"/>
    <w:rsid w:val="00D847B1"/>
    <w:rsid w:val="00D853EA"/>
    <w:rsid w:val="00D86C36"/>
    <w:rsid w:val="00D914DA"/>
    <w:rsid w:val="00D92B15"/>
    <w:rsid w:val="00D936CE"/>
    <w:rsid w:val="00D94997"/>
    <w:rsid w:val="00D9551B"/>
    <w:rsid w:val="00D96127"/>
    <w:rsid w:val="00D969FC"/>
    <w:rsid w:val="00DA217B"/>
    <w:rsid w:val="00DA31CE"/>
    <w:rsid w:val="00DA349D"/>
    <w:rsid w:val="00DA423D"/>
    <w:rsid w:val="00DA456A"/>
    <w:rsid w:val="00DA4861"/>
    <w:rsid w:val="00DA6158"/>
    <w:rsid w:val="00DA6A64"/>
    <w:rsid w:val="00DB098F"/>
    <w:rsid w:val="00DB134A"/>
    <w:rsid w:val="00DB14CC"/>
    <w:rsid w:val="00DB154F"/>
    <w:rsid w:val="00DB253A"/>
    <w:rsid w:val="00DB2D21"/>
    <w:rsid w:val="00DB34C7"/>
    <w:rsid w:val="00DB60E4"/>
    <w:rsid w:val="00DB708C"/>
    <w:rsid w:val="00DC05EC"/>
    <w:rsid w:val="00DC0D67"/>
    <w:rsid w:val="00DC1868"/>
    <w:rsid w:val="00DC2596"/>
    <w:rsid w:val="00DC3032"/>
    <w:rsid w:val="00DC36E0"/>
    <w:rsid w:val="00DC5456"/>
    <w:rsid w:val="00DC55AE"/>
    <w:rsid w:val="00DC62C5"/>
    <w:rsid w:val="00DD02EC"/>
    <w:rsid w:val="00DD0AD0"/>
    <w:rsid w:val="00DD13F8"/>
    <w:rsid w:val="00DD1AD1"/>
    <w:rsid w:val="00DD2841"/>
    <w:rsid w:val="00DD2F31"/>
    <w:rsid w:val="00DD3208"/>
    <w:rsid w:val="00DD3248"/>
    <w:rsid w:val="00DD3650"/>
    <w:rsid w:val="00DD541E"/>
    <w:rsid w:val="00DD5B0C"/>
    <w:rsid w:val="00DD6275"/>
    <w:rsid w:val="00DD6776"/>
    <w:rsid w:val="00DD72DF"/>
    <w:rsid w:val="00DD76E4"/>
    <w:rsid w:val="00DE0372"/>
    <w:rsid w:val="00DE152E"/>
    <w:rsid w:val="00DE1CA0"/>
    <w:rsid w:val="00DE1D38"/>
    <w:rsid w:val="00DE3DC7"/>
    <w:rsid w:val="00DE4E0E"/>
    <w:rsid w:val="00DE53A7"/>
    <w:rsid w:val="00DE56E4"/>
    <w:rsid w:val="00DE626E"/>
    <w:rsid w:val="00DE712C"/>
    <w:rsid w:val="00DE7D60"/>
    <w:rsid w:val="00DF04BB"/>
    <w:rsid w:val="00DF1AF8"/>
    <w:rsid w:val="00DF1F29"/>
    <w:rsid w:val="00DF1F97"/>
    <w:rsid w:val="00DF208C"/>
    <w:rsid w:val="00DF237D"/>
    <w:rsid w:val="00DF2389"/>
    <w:rsid w:val="00DF260A"/>
    <w:rsid w:val="00DF2D12"/>
    <w:rsid w:val="00DF3A76"/>
    <w:rsid w:val="00DF3C7B"/>
    <w:rsid w:val="00DF4BF0"/>
    <w:rsid w:val="00DF4D80"/>
    <w:rsid w:val="00DF6C57"/>
    <w:rsid w:val="00DF6D31"/>
    <w:rsid w:val="00DF76C7"/>
    <w:rsid w:val="00DF7DFF"/>
    <w:rsid w:val="00DF7EAB"/>
    <w:rsid w:val="00E012D5"/>
    <w:rsid w:val="00E016D7"/>
    <w:rsid w:val="00E01E85"/>
    <w:rsid w:val="00E02B1B"/>
    <w:rsid w:val="00E03336"/>
    <w:rsid w:val="00E03A36"/>
    <w:rsid w:val="00E04178"/>
    <w:rsid w:val="00E045E8"/>
    <w:rsid w:val="00E046E7"/>
    <w:rsid w:val="00E05608"/>
    <w:rsid w:val="00E05C4C"/>
    <w:rsid w:val="00E06CA9"/>
    <w:rsid w:val="00E06F34"/>
    <w:rsid w:val="00E07FCD"/>
    <w:rsid w:val="00E11FCC"/>
    <w:rsid w:val="00E13D97"/>
    <w:rsid w:val="00E13D9F"/>
    <w:rsid w:val="00E14380"/>
    <w:rsid w:val="00E150E5"/>
    <w:rsid w:val="00E15447"/>
    <w:rsid w:val="00E15484"/>
    <w:rsid w:val="00E1552E"/>
    <w:rsid w:val="00E157BF"/>
    <w:rsid w:val="00E167C1"/>
    <w:rsid w:val="00E216DE"/>
    <w:rsid w:val="00E21D51"/>
    <w:rsid w:val="00E22142"/>
    <w:rsid w:val="00E227A3"/>
    <w:rsid w:val="00E22BC5"/>
    <w:rsid w:val="00E23180"/>
    <w:rsid w:val="00E23D6D"/>
    <w:rsid w:val="00E25CEE"/>
    <w:rsid w:val="00E2632E"/>
    <w:rsid w:val="00E26579"/>
    <w:rsid w:val="00E26777"/>
    <w:rsid w:val="00E26988"/>
    <w:rsid w:val="00E3058C"/>
    <w:rsid w:val="00E30739"/>
    <w:rsid w:val="00E313DC"/>
    <w:rsid w:val="00E3152B"/>
    <w:rsid w:val="00E32A02"/>
    <w:rsid w:val="00E32A85"/>
    <w:rsid w:val="00E32EBE"/>
    <w:rsid w:val="00E3491B"/>
    <w:rsid w:val="00E35164"/>
    <w:rsid w:val="00E356B2"/>
    <w:rsid w:val="00E36DBF"/>
    <w:rsid w:val="00E3714B"/>
    <w:rsid w:val="00E3736D"/>
    <w:rsid w:val="00E37549"/>
    <w:rsid w:val="00E37A7C"/>
    <w:rsid w:val="00E37CEE"/>
    <w:rsid w:val="00E40AEB"/>
    <w:rsid w:val="00E40D6E"/>
    <w:rsid w:val="00E42F35"/>
    <w:rsid w:val="00E4480C"/>
    <w:rsid w:val="00E450B6"/>
    <w:rsid w:val="00E4542F"/>
    <w:rsid w:val="00E45622"/>
    <w:rsid w:val="00E465DC"/>
    <w:rsid w:val="00E467F3"/>
    <w:rsid w:val="00E4697C"/>
    <w:rsid w:val="00E47DA4"/>
    <w:rsid w:val="00E50253"/>
    <w:rsid w:val="00E51BC3"/>
    <w:rsid w:val="00E5213B"/>
    <w:rsid w:val="00E53AA5"/>
    <w:rsid w:val="00E54344"/>
    <w:rsid w:val="00E546E2"/>
    <w:rsid w:val="00E55B46"/>
    <w:rsid w:val="00E55D96"/>
    <w:rsid w:val="00E56108"/>
    <w:rsid w:val="00E56597"/>
    <w:rsid w:val="00E56672"/>
    <w:rsid w:val="00E568F2"/>
    <w:rsid w:val="00E60F6A"/>
    <w:rsid w:val="00E616DC"/>
    <w:rsid w:val="00E6218F"/>
    <w:rsid w:val="00E644DA"/>
    <w:rsid w:val="00E64664"/>
    <w:rsid w:val="00E64F4B"/>
    <w:rsid w:val="00E6792B"/>
    <w:rsid w:val="00E71C90"/>
    <w:rsid w:val="00E72706"/>
    <w:rsid w:val="00E729DC"/>
    <w:rsid w:val="00E75D72"/>
    <w:rsid w:val="00E75FA0"/>
    <w:rsid w:val="00E772E6"/>
    <w:rsid w:val="00E77514"/>
    <w:rsid w:val="00E816BF"/>
    <w:rsid w:val="00E82551"/>
    <w:rsid w:val="00E82AF4"/>
    <w:rsid w:val="00E847CA"/>
    <w:rsid w:val="00E84A4E"/>
    <w:rsid w:val="00E84DEC"/>
    <w:rsid w:val="00E85178"/>
    <w:rsid w:val="00E8533E"/>
    <w:rsid w:val="00E8599F"/>
    <w:rsid w:val="00E85A63"/>
    <w:rsid w:val="00E85DF5"/>
    <w:rsid w:val="00E86F51"/>
    <w:rsid w:val="00E87E93"/>
    <w:rsid w:val="00E87F9C"/>
    <w:rsid w:val="00E911A8"/>
    <w:rsid w:val="00E91AD5"/>
    <w:rsid w:val="00E93252"/>
    <w:rsid w:val="00E95320"/>
    <w:rsid w:val="00E9538C"/>
    <w:rsid w:val="00E97B0C"/>
    <w:rsid w:val="00E97C1A"/>
    <w:rsid w:val="00EA08D7"/>
    <w:rsid w:val="00EA2217"/>
    <w:rsid w:val="00EA2767"/>
    <w:rsid w:val="00EA4BD9"/>
    <w:rsid w:val="00EA56B7"/>
    <w:rsid w:val="00EA5D39"/>
    <w:rsid w:val="00EA6070"/>
    <w:rsid w:val="00EA768F"/>
    <w:rsid w:val="00EA7C4F"/>
    <w:rsid w:val="00EB1143"/>
    <w:rsid w:val="00EB4180"/>
    <w:rsid w:val="00EB4A80"/>
    <w:rsid w:val="00EB52B6"/>
    <w:rsid w:val="00EB569A"/>
    <w:rsid w:val="00EB721A"/>
    <w:rsid w:val="00EB7F73"/>
    <w:rsid w:val="00EC07B7"/>
    <w:rsid w:val="00EC17CF"/>
    <w:rsid w:val="00EC1B66"/>
    <w:rsid w:val="00EC24A4"/>
    <w:rsid w:val="00EC36C7"/>
    <w:rsid w:val="00EC53A3"/>
    <w:rsid w:val="00EC5930"/>
    <w:rsid w:val="00EC6508"/>
    <w:rsid w:val="00EC689A"/>
    <w:rsid w:val="00EC77F3"/>
    <w:rsid w:val="00ED0855"/>
    <w:rsid w:val="00ED1039"/>
    <w:rsid w:val="00ED1115"/>
    <w:rsid w:val="00ED354E"/>
    <w:rsid w:val="00ED45F2"/>
    <w:rsid w:val="00ED4EA2"/>
    <w:rsid w:val="00ED5F16"/>
    <w:rsid w:val="00ED61A2"/>
    <w:rsid w:val="00ED64F6"/>
    <w:rsid w:val="00ED65E1"/>
    <w:rsid w:val="00ED7446"/>
    <w:rsid w:val="00EE221B"/>
    <w:rsid w:val="00EE2A56"/>
    <w:rsid w:val="00EE2F55"/>
    <w:rsid w:val="00EE3844"/>
    <w:rsid w:val="00EE4789"/>
    <w:rsid w:val="00EE533C"/>
    <w:rsid w:val="00EE6692"/>
    <w:rsid w:val="00EE712C"/>
    <w:rsid w:val="00EE7861"/>
    <w:rsid w:val="00EF0048"/>
    <w:rsid w:val="00EF1390"/>
    <w:rsid w:val="00EF205B"/>
    <w:rsid w:val="00EF2926"/>
    <w:rsid w:val="00EF3A6E"/>
    <w:rsid w:val="00EF3F43"/>
    <w:rsid w:val="00EF4691"/>
    <w:rsid w:val="00EF58D9"/>
    <w:rsid w:val="00EF5CEE"/>
    <w:rsid w:val="00EF65D5"/>
    <w:rsid w:val="00EF69D6"/>
    <w:rsid w:val="00EF6EA3"/>
    <w:rsid w:val="00F00797"/>
    <w:rsid w:val="00F018A5"/>
    <w:rsid w:val="00F020C5"/>
    <w:rsid w:val="00F02D71"/>
    <w:rsid w:val="00F02DA0"/>
    <w:rsid w:val="00F03421"/>
    <w:rsid w:val="00F037A1"/>
    <w:rsid w:val="00F03D0B"/>
    <w:rsid w:val="00F04417"/>
    <w:rsid w:val="00F04993"/>
    <w:rsid w:val="00F04F96"/>
    <w:rsid w:val="00F053AC"/>
    <w:rsid w:val="00F05FB9"/>
    <w:rsid w:val="00F06377"/>
    <w:rsid w:val="00F110C3"/>
    <w:rsid w:val="00F113B9"/>
    <w:rsid w:val="00F12C7A"/>
    <w:rsid w:val="00F12F80"/>
    <w:rsid w:val="00F12FCD"/>
    <w:rsid w:val="00F1323F"/>
    <w:rsid w:val="00F14FC9"/>
    <w:rsid w:val="00F161E6"/>
    <w:rsid w:val="00F16358"/>
    <w:rsid w:val="00F167F2"/>
    <w:rsid w:val="00F17771"/>
    <w:rsid w:val="00F20956"/>
    <w:rsid w:val="00F20A17"/>
    <w:rsid w:val="00F20D5E"/>
    <w:rsid w:val="00F23819"/>
    <w:rsid w:val="00F23A7D"/>
    <w:rsid w:val="00F24621"/>
    <w:rsid w:val="00F24B7E"/>
    <w:rsid w:val="00F259E4"/>
    <w:rsid w:val="00F25B9F"/>
    <w:rsid w:val="00F260D1"/>
    <w:rsid w:val="00F26F25"/>
    <w:rsid w:val="00F2783C"/>
    <w:rsid w:val="00F302BB"/>
    <w:rsid w:val="00F31145"/>
    <w:rsid w:val="00F31A21"/>
    <w:rsid w:val="00F32044"/>
    <w:rsid w:val="00F32F9D"/>
    <w:rsid w:val="00F3303E"/>
    <w:rsid w:val="00F33253"/>
    <w:rsid w:val="00F35381"/>
    <w:rsid w:val="00F36186"/>
    <w:rsid w:val="00F367E9"/>
    <w:rsid w:val="00F3734B"/>
    <w:rsid w:val="00F3735C"/>
    <w:rsid w:val="00F379D8"/>
    <w:rsid w:val="00F42EEA"/>
    <w:rsid w:val="00F431AB"/>
    <w:rsid w:val="00F451DA"/>
    <w:rsid w:val="00F46660"/>
    <w:rsid w:val="00F50D9B"/>
    <w:rsid w:val="00F5105E"/>
    <w:rsid w:val="00F545FC"/>
    <w:rsid w:val="00F54955"/>
    <w:rsid w:val="00F5505B"/>
    <w:rsid w:val="00F562E1"/>
    <w:rsid w:val="00F56308"/>
    <w:rsid w:val="00F56DF8"/>
    <w:rsid w:val="00F57D77"/>
    <w:rsid w:val="00F602A2"/>
    <w:rsid w:val="00F60482"/>
    <w:rsid w:val="00F624D8"/>
    <w:rsid w:val="00F64E04"/>
    <w:rsid w:val="00F67AF9"/>
    <w:rsid w:val="00F70EA6"/>
    <w:rsid w:val="00F71033"/>
    <w:rsid w:val="00F712D7"/>
    <w:rsid w:val="00F7258A"/>
    <w:rsid w:val="00F72BBE"/>
    <w:rsid w:val="00F72C4A"/>
    <w:rsid w:val="00F72D18"/>
    <w:rsid w:val="00F73F6F"/>
    <w:rsid w:val="00F74044"/>
    <w:rsid w:val="00F7451A"/>
    <w:rsid w:val="00F74655"/>
    <w:rsid w:val="00F75623"/>
    <w:rsid w:val="00F7631A"/>
    <w:rsid w:val="00F8062E"/>
    <w:rsid w:val="00F80801"/>
    <w:rsid w:val="00F810CE"/>
    <w:rsid w:val="00F8140F"/>
    <w:rsid w:val="00F826D8"/>
    <w:rsid w:val="00F82B31"/>
    <w:rsid w:val="00F83513"/>
    <w:rsid w:val="00F84762"/>
    <w:rsid w:val="00F85996"/>
    <w:rsid w:val="00F85C3B"/>
    <w:rsid w:val="00F86867"/>
    <w:rsid w:val="00F8692A"/>
    <w:rsid w:val="00F86BE7"/>
    <w:rsid w:val="00F87BF8"/>
    <w:rsid w:val="00F9065F"/>
    <w:rsid w:val="00F909D7"/>
    <w:rsid w:val="00F90AC9"/>
    <w:rsid w:val="00F91684"/>
    <w:rsid w:val="00F92B92"/>
    <w:rsid w:val="00F952B3"/>
    <w:rsid w:val="00F95915"/>
    <w:rsid w:val="00F959A1"/>
    <w:rsid w:val="00F95A88"/>
    <w:rsid w:val="00F95EA9"/>
    <w:rsid w:val="00F96A51"/>
    <w:rsid w:val="00F97269"/>
    <w:rsid w:val="00F97BC7"/>
    <w:rsid w:val="00F97BD9"/>
    <w:rsid w:val="00FA0093"/>
    <w:rsid w:val="00FA0C7A"/>
    <w:rsid w:val="00FA2A37"/>
    <w:rsid w:val="00FA34F4"/>
    <w:rsid w:val="00FA4460"/>
    <w:rsid w:val="00FA4E7C"/>
    <w:rsid w:val="00FA4EB4"/>
    <w:rsid w:val="00FA6763"/>
    <w:rsid w:val="00FA687F"/>
    <w:rsid w:val="00FA6A26"/>
    <w:rsid w:val="00FA7B37"/>
    <w:rsid w:val="00FA7DEC"/>
    <w:rsid w:val="00FB0532"/>
    <w:rsid w:val="00FB1BFB"/>
    <w:rsid w:val="00FB2D52"/>
    <w:rsid w:val="00FB3D71"/>
    <w:rsid w:val="00FB3D8D"/>
    <w:rsid w:val="00FB41A1"/>
    <w:rsid w:val="00FB453C"/>
    <w:rsid w:val="00FB5C3D"/>
    <w:rsid w:val="00FB682E"/>
    <w:rsid w:val="00FC05DB"/>
    <w:rsid w:val="00FC20E0"/>
    <w:rsid w:val="00FC217E"/>
    <w:rsid w:val="00FC2F73"/>
    <w:rsid w:val="00FC3B65"/>
    <w:rsid w:val="00FC3FC5"/>
    <w:rsid w:val="00FC4555"/>
    <w:rsid w:val="00FC4755"/>
    <w:rsid w:val="00FC77CD"/>
    <w:rsid w:val="00FD23FC"/>
    <w:rsid w:val="00FD275F"/>
    <w:rsid w:val="00FD2B73"/>
    <w:rsid w:val="00FD4524"/>
    <w:rsid w:val="00FD5B41"/>
    <w:rsid w:val="00FD5DA9"/>
    <w:rsid w:val="00FD5F29"/>
    <w:rsid w:val="00FD6025"/>
    <w:rsid w:val="00FD6A38"/>
    <w:rsid w:val="00FD6A82"/>
    <w:rsid w:val="00FD70E7"/>
    <w:rsid w:val="00FD79C4"/>
    <w:rsid w:val="00FD7AF8"/>
    <w:rsid w:val="00FE15C7"/>
    <w:rsid w:val="00FE2596"/>
    <w:rsid w:val="00FE356E"/>
    <w:rsid w:val="00FE359F"/>
    <w:rsid w:val="00FE363F"/>
    <w:rsid w:val="00FE4E51"/>
    <w:rsid w:val="00FE543B"/>
    <w:rsid w:val="00FE5B3B"/>
    <w:rsid w:val="00FE6573"/>
    <w:rsid w:val="00FF14E9"/>
    <w:rsid w:val="00FF15C6"/>
    <w:rsid w:val="00FF1BA0"/>
    <w:rsid w:val="00FF2264"/>
    <w:rsid w:val="00FF2980"/>
    <w:rsid w:val="00FF5ED6"/>
    <w:rsid w:val="00FF6EF0"/>
    <w:rsid w:val="01C91B7B"/>
    <w:rsid w:val="02BA53FD"/>
    <w:rsid w:val="0331228A"/>
    <w:rsid w:val="044A273F"/>
    <w:rsid w:val="04574D3B"/>
    <w:rsid w:val="047F3B78"/>
    <w:rsid w:val="056C6C46"/>
    <w:rsid w:val="065F0DAD"/>
    <w:rsid w:val="07C41F13"/>
    <w:rsid w:val="08F9539A"/>
    <w:rsid w:val="09EB27C2"/>
    <w:rsid w:val="0A3751FC"/>
    <w:rsid w:val="0A8B7531"/>
    <w:rsid w:val="0B7619CB"/>
    <w:rsid w:val="0BC51AD4"/>
    <w:rsid w:val="0D4E7539"/>
    <w:rsid w:val="1017091D"/>
    <w:rsid w:val="108F314B"/>
    <w:rsid w:val="1120197B"/>
    <w:rsid w:val="1348277B"/>
    <w:rsid w:val="13FD2B18"/>
    <w:rsid w:val="14292877"/>
    <w:rsid w:val="15F60A9C"/>
    <w:rsid w:val="19DF3621"/>
    <w:rsid w:val="1B6B5BF6"/>
    <w:rsid w:val="1B8E7B93"/>
    <w:rsid w:val="1C354CD5"/>
    <w:rsid w:val="1E9E5387"/>
    <w:rsid w:val="239D4E39"/>
    <w:rsid w:val="2574608D"/>
    <w:rsid w:val="27CE56EE"/>
    <w:rsid w:val="29E65D48"/>
    <w:rsid w:val="2A4C486F"/>
    <w:rsid w:val="2B25520B"/>
    <w:rsid w:val="2D373EBE"/>
    <w:rsid w:val="32D72E0C"/>
    <w:rsid w:val="338A02B4"/>
    <w:rsid w:val="3398679C"/>
    <w:rsid w:val="33BC5E4F"/>
    <w:rsid w:val="34223D34"/>
    <w:rsid w:val="35025CA5"/>
    <w:rsid w:val="35644FAE"/>
    <w:rsid w:val="37151D28"/>
    <w:rsid w:val="37A40DDA"/>
    <w:rsid w:val="37C804CC"/>
    <w:rsid w:val="39A14D10"/>
    <w:rsid w:val="39B07421"/>
    <w:rsid w:val="3B8322E7"/>
    <w:rsid w:val="3C05135B"/>
    <w:rsid w:val="3E372955"/>
    <w:rsid w:val="42DD2684"/>
    <w:rsid w:val="46BA6E82"/>
    <w:rsid w:val="48DE5F9B"/>
    <w:rsid w:val="493733CC"/>
    <w:rsid w:val="49A54E80"/>
    <w:rsid w:val="4B512745"/>
    <w:rsid w:val="4B92607D"/>
    <w:rsid w:val="543D0084"/>
    <w:rsid w:val="555C07A0"/>
    <w:rsid w:val="5743507A"/>
    <w:rsid w:val="59D4292C"/>
    <w:rsid w:val="59F0269D"/>
    <w:rsid w:val="5AC027C0"/>
    <w:rsid w:val="5BC7452F"/>
    <w:rsid w:val="5D050EE0"/>
    <w:rsid w:val="5D256136"/>
    <w:rsid w:val="5E4F7392"/>
    <w:rsid w:val="60472C7C"/>
    <w:rsid w:val="619154F2"/>
    <w:rsid w:val="62FB309E"/>
    <w:rsid w:val="65C94FF7"/>
    <w:rsid w:val="65F535DC"/>
    <w:rsid w:val="679A428E"/>
    <w:rsid w:val="688D196F"/>
    <w:rsid w:val="6A6862DC"/>
    <w:rsid w:val="6AC258D8"/>
    <w:rsid w:val="6D666F6A"/>
    <w:rsid w:val="6E1F5088"/>
    <w:rsid w:val="6FC250F6"/>
    <w:rsid w:val="6FDC6332"/>
    <w:rsid w:val="71385733"/>
    <w:rsid w:val="73F66E93"/>
    <w:rsid w:val="75021AE6"/>
    <w:rsid w:val="7616566A"/>
    <w:rsid w:val="76FA22C3"/>
    <w:rsid w:val="7D9A58A8"/>
    <w:rsid w:val="7DF12884"/>
    <w:rsid w:val="7E2770D2"/>
    <w:rsid w:val="7E5D011B"/>
    <w:rsid w:val="7E811B72"/>
    <w:rsid w:val="7F562CE3"/>
    <w:rsid w:val="7FE11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5">
    <w:name w:val="heading 1"/>
    <w:basedOn w:val="1"/>
    <w:next w:val="1"/>
    <w:link w:val="66"/>
    <w:qFormat/>
    <w:uiPriority w:val="0"/>
    <w:pPr>
      <w:keepNext/>
      <w:jc w:val="center"/>
      <w:outlineLvl w:val="0"/>
    </w:pPr>
    <w:rPr>
      <w:rFonts w:ascii="楷体_GB2312" w:eastAsia="楷体_GB2312"/>
      <w:sz w:val="28"/>
      <w:szCs w:val="28"/>
    </w:rPr>
  </w:style>
  <w:style w:type="paragraph" w:styleId="6">
    <w:name w:val="heading 2"/>
    <w:basedOn w:val="1"/>
    <w:next w:val="7"/>
    <w:link w:val="78"/>
    <w:qFormat/>
    <w:uiPriority w:val="0"/>
    <w:pPr>
      <w:keepNext/>
      <w:keepLines/>
      <w:spacing w:before="260" w:after="260" w:line="416" w:lineRule="auto"/>
      <w:jc w:val="center"/>
      <w:outlineLvl w:val="1"/>
    </w:pPr>
    <w:rPr>
      <w:rFonts w:ascii="Arial" w:hAnsi="Arial" w:eastAsia="幼圆"/>
      <w:b/>
      <w:bCs/>
      <w:sz w:val="44"/>
      <w:szCs w:val="44"/>
    </w:rPr>
  </w:style>
  <w:style w:type="paragraph" w:styleId="8">
    <w:name w:val="heading 3"/>
    <w:basedOn w:val="1"/>
    <w:next w:val="7"/>
    <w:link w:val="55"/>
    <w:qFormat/>
    <w:uiPriority w:val="0"/>
    <w:pPr>
      <w:keepNext/>
      <w:keepLines/>
      <w:spacing w:before="260" w:after="260" w:line="416" w:lineRule="auto"/>
      <w:outlineLvl w:val="2"/>
    </w:pPr>
    <w:rPr>
      <w:b/>
      <w:bCs/>
      <w:sz w:val="32"/>
      <w:szCs w:val="32"/>
    </w:rPr>
  </w:style>
  <w:style w:type="paragraph" w:styleId="9">
    <w:name w:val="heading 4"/>
    <w:basedOn w:val="1"/>
    <w:next w:val="7"/>
    <w:link w:val="76"/>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7"/>
    <w:link w:val="73"/>
    <w:qFormat/>
    <w:uiPriority w:val="0"/>
    <w:pPr>
      <w:keepNext/>
      <w:autoSpaceDE w:val="0"/>
      <w:autoSpaceDN w:val="0"/>
      <w:adjustRightInd w:val="0"/>
      <w:outlineLvl w:val="4"/>
    </w:pPr>
    <w:rPr>
      <w:rFonts w:ascii="宋体"/>
      <w:color w:val="000000"/>
      <w:kern w:val="0"/>
      <w:sz w:val="28"/>
      <w:szCs w:val="28"/>
    </w:rPr>
  </w:style>
  <w:style w:type="paragraph" w:styleId="11">
    <w:name w:val="heading 6"/>
    <w:basedOn w:val="1"/>
    <w:next w:val="1"/>
    <w:link w:val="68"/>
    <w:qFormat/>
    <w:uiPriority w:val="0"/>
    <w:pPr>
      <w:keepNext/>
      <w:keepLines/>
      <w:spacing w:before="240" w:after="64" w:line="320" w:lineRule="auto"/>
      <w:outlineLvl w:val="5"/>
    </w:pPr>
    <w:rPr>
      <w:rFonts w:ascii="Arial" w:hAnsi="Arial" w:eastAsia="黑体"/>
      <w:b/>
      <w:bCs/>
      <w:sz w:val="24"/>
      <w:szCs w:val="24"/>
    </w:rPr>
  </w:style>
  <w:style w:type="paragraph" w:styleId="12">
    <w:name w:val="heading 7"/>
    <w:basedOn w:val="1"/>
    <w:next w:val="1"/>
    <w:link w:val="79"/>
    <w:qFormat/>
    <w:uiPriority w:val="0"/>
    <w:pPr>
      <w:keepNext/>
      <w:keepLines/>
      <w:numPr>
        <w:ilvl w:val="6"/>
        <w:numId w:val="1"/>
      </w:numPr>
      <w:spacing w:before="240" w:after="64" w:line="320" w:lineRule="auto"/>
      <w:outlineLvl w:val="6"/>
    </w:pPr>
    <w:rPr>
      <w:b/>
      <w:bCs/>
      <w:sz w:val="24"/>
      <w:szCs w:val="24"/>
    </w:rPr>
  </w:style>
  <w:style w:type="paragraph" w:styleId="13">
    <w:name w:val="heading 8"/>
    <w:basedOn w:val="1"/>
    <w:next w:val="1"/>
    <w:link w:val="77"/>
    <w:qFormat/>
    <w:uiPriority w:val="0"/>
    <w:pPr>
      <w:keepNext/>
      <w:keepLines/>
      <w:spacing w:before="240" w:after="64" w:line="320" w:lineRule="auto"/>
      <w:outlineLvl w:val="7"/>
    </w:pPr>
    <w:rPr>
      <w:rFonts w:ascii="Arial" w:hAnsi="Arial" w:eastAsia="黑体"/>
      <w:sz w:val="24"/>
      <w:szCs w:val="24"/>
    </w:rPr>
  </w:style>
  <w:style w:type="paragraph" w:styleId="14">
    <w:name w:val="heading 9"/>
    <w:basedOn w:val="1"/>
    <w:next w:val="1"/>
    <w:link w:val="59"/>
    <w:qFormat/>
    <w:uiPriority w:val="0"/>
    <w:pPr>
      <w:keepNext/>
      <w:keepLines/>
      <w:tabs>
        <w:tab w:val="left" w:pos="907"/>
      </w:tabs>
      <w:spacing w:before="240" w:after="64" w:line="320" w:lineRule="auto"/>
      <w:outlineLvl w:val="8"/>
    </w:pPr>
    <w:rPr>
      <w:rFonts w:ascii="Arial" w:hAnsi="Arial" w:eastAsia="黑体"/>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rFonts w:ascii="宋体" w:hAnsi="宋体" w:eastAsia="宋体"/>
      <w:sz w:val="21"/>
      <w:szCs w:val="20"/>
    </w:rPr>
  </w:style>
  <w:style w:type="paragraph" w:styleId="3">
    <w:name w:val="Body Text Indent"/>
    <w:basedOn w:val="1"/>
    <w:next w:val="4"/>
    <w:qFormat/>
    <w:uiPriority w:val="0"/>
    <w:pPr>
      <w:ind w:firstLine="645"/>
    </w:pPr>
    <w:rPr>
      <w:rFonts w:ascii="楷体_GB2312" w:eastAsia="楷体_GB2312"/>
      <w:sz w:val="32"/>
      <w:szCs w:val="32"/>
    </w:rPr>
  </w:style>
  <w:style w:type="paragraph" w:styleId="4">
    <w:name w:val="envelope return"/>
    <w:basedOn w:val="1"/>
    <w:qFormat/>
    <w:uiPriority w:val="99"/>
    <w:pPr>
      <w:snapToGrid w:val="0"/>
    </w:pPr>
    <w:rPr>
      <w:rFonts w:ascii="Arial" w:hAnsi="Arial" w:cs="Arial"/>
    </w:rPr>
  </w:style>
  <w:style w:type="paragraph" w:styleId="7">
    <w:name w:val="Normal Indent"/>
    <w:basedOn w:val="1"/>
    <w:link w:val="72"/>
    <w:qFormat/>
    <w:uiPriority w:val="0"/>
    <w:pPr>
      <w:ind w:firstLine="420"/>
    </w:pPr>
  </w:style>
  <w:style w:type="paragraph" w:styleId="15">
    <w:name w:val="List 3"/>
    <w:basedOn w:val="1"/>
    <w:qFormat/>
    <w:uiPriority w:val="0"/>
    <w:pPr>
      <w:ind w:left="100" w:leftChars="400" w:hanging="200" w:hangingChars="200"/>
    </w:pPr>
  </w:style>
  <w:style w:type="paragraph" w:styleId="16">
    <w:name w:val="toc 7"/>
    <w:basedOn w:val="1"/>
    <w:next w:val="1"/>
    <w:semiHidden/>
    <w:qFormat/>
    <w:uiPriority w:val="0"/>
    <w:pPr>
      <w:ind w:left="1260"/>
      <w:jc w:val="left"/>
    </w:pPr>
  </w:style>
  <w:style w:type="paragraph" w:styleId="17">
    <w:name w:val="Document Map"/>
    <w:basedOn w:val="1"/>
    <w:semiHidden/>
    <w:qFormat/>
    <w:uiPriority w:val="0"/>
    <w:pPr>
      <w:shd w:val="clear" w:color="auto" w:fill="000080"/>
    </w:pPr>
  </w:style>
  <w:style w:type="paragraph" w:styleId="18">
    <w:name w:val="annotation text"/>
    <w:basedOn w:val="1"/>
    <w:link w:val="114"/>
    <w:qFormat/>
    <w:uiPriority w:val="99"/>
    <w:pPr>
      <w:jc w:val="left"/>
    </w:pPr>
  </w:style>
  <w:style w:type="paragraph" w:styleId="19">
    <w:name w:val="Body Text 3"/>
    <w:basedOn w:val="1"/>
    <w:link w:val="56"/>
    <w:qFormat/>
    <w:uiPriority w:val="0"/>
    <w:rPr>
      <w:rFonts w:ascii="仿宋_GB2312" w:hAnsi="Arial" w:eastAsia="仿宋_GB2312"/>
      <w:sz w:val="32"/>
      <w:szCs w:val="32"/>
    </w:rPr>
  </w:style>
  <w:style w:type="paragraph" w:styleId="20">
    <w:name w:val="Body Text"/>
    <w:basedOn w:val="1"/>
    <w:qFormat/>
    <w:uiPriority w:val="0"/>
    <w:rPr>
      <w:rFonts w:ascii="楷体_GB2312" w:hAnsi="Arial" w:eastAsia="楷体_GB2312"/>
      <w:sz w:val="28"/>
      <w:szCs w:val="28"/>
    </w:rPr>
  </w:style>
  <w:style w:type="paragraph" w:styleId="21">
    <w:name w:val="List 2"/>
    <w:basedOn w:val="1"/>
    <w:qFormat/>
    <w:uiPriority w:val="0"/>
    <w:pPr>
      <w:ind w:left="100" w:leftChars="200" w:hanging="200" w:hangingChars="2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qFormat/>
    <w:uiPriority w:val="0"/>
    <w:rPr>
      <w:rFonts w:ascii="宋体" w:hAnsi="Courier New" w:cs="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67"/>
    <w:qFormat/>
    <w:uiPriority w:val="99"/>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HTML Preformatted"/>
    <w:basedOn w:val="1"/>
    <w:link w:val="54"/>
    <w:qFormat/>
    <w:uiPriority w:val="0"/>
    <w:pPr>
      <w:adjustRightInd w:val="0"/>
      <w:spacing w:line="360" w:lineRule="atLeast"/>
      <w:textAlignment w:val="baseline"/>
    </w:pPr>
    <w:rPr>
      <w:rFonts w:ascii="Courier New" w:hAnsi="Courier New"/>
      <w:kern w:val="0"/>
      <w:sz w:val="20"/>
      <w:szCs w:val="20"/>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b/>
      <w:bCs/>
    </w:rPr>
  </w:style>
  <w:style w:type="paragraph" w:styleId="43">
    <w:name w:val="Title"/>
    <w:basedOn w:val="1"/>
    <w:next w:val="1"/>
    <w:link w:val="71"/>
    <w:qFormat/>
    <w:uiPriority w:val="0"/>
    <w:pPr>
      <w:spacing w:before="240" w:after="60"/>
      <w:jc w:val="center"/>
      <w:outlineLvl w:val="0"/>
    </w:pPr>
    <w:rPr>
      <w:rFonts w:ascii="Cambria" w:hAnsi="Cambria"/>
      <w:b/>
      <w:bCs/>
      <w:sz w:val="32"/>
      <w:szCs w:val="32"/>
    </w:rPr>
  </w:style>
  <w:style w:type="paragraph" w:styleId="44">
    <w:name w:val="annotation subject"/>
    <w:basedOn w:val="18"/>
    <w:next w:val="18"/>
    <w:semiHidden/>
    <w:qFormat/>
    <w:uiPriority w:val="0"/>
    <w:rPr>
      <w:b/>
      <w:bCs/>
    </w:rPr>
  </w:style>
  <w:style w:type="paragraph" w:styleId="45">
    <w:name w:val="Body Text First Indent"/>
    <w:basedOn w:val="1"/>
    <w:qFormat/>
    <w:uiPriority w:val="0"/>
    <w:pPr>
      <w:spacing w:line="360" w:lineRule="auto"/>
      <w:ind w:firstLine="200" w:firstLineChars="200"/>
    </w:pPr>
    <w:rPr>
      <w:rFonts w:ascii="仿宋_GB2312" w:eastAsia="仿宋_GB2312"/>
      <w:sz w:val="30"/>
      <w:szCs w:val="3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semiHidden/>
    <w:qFormat/>
    <w:uiPriority w:val="0"/>
    <w:rPr>
      <w:sz w:val="21"/>
      <w:szCs w:val="21"/>
    </w:rPr>
  </w:style>
  <w:style w:type="character" w:customStyle="1" w:styleId="54">
    <w:name w:val="HTML 预设格式 Char"/>
    <w:link w:val="40"/>
    <w:qFormat/>
    <w:uiPriority w:val="0"/>
    <w:rPr>
      <w:rFonts w:ascii="Courier New" w:hAnsi="Courier New"/>
    </w:rPr>
  </w:style>
  <w:style w:type="character" w:customStyle="1" w:styleId="55">
    <w:name w:val="标题 3 Char"/>
    <w:link w:val="8"/>
    <w:qFormat/>
    <w:uiPriority w:val="0"/>
    <w:rPr>
      <w:b/>
      <w:bCs/>
      <w:kern w:val="2"/>
      <w:sz w:val="32"/>
      <w:szCs w:val="32"/>
    </w:rPr>
  </w:style>
  <w:style w:type="character" w:customStyle="1" w:styleId="56">
    <w:name w:val="正文文本 3 Char"/>
    <w:link w:val="19"/>
    <w:qFormat/>
    <w:uiPriority w:val="0"/>
    <w:rPr>
      <w:rFonts w:ascii="仿宋_GB2312" w:hAnsi="Arial" w:eastAsia="仿宋_GB2312"/>
      <w:kern w:val="2"/>
      <w:sz w:val="32"/>
      <w:szCs w:val="32"/>
    </w:rPr>
  </w:style>
  <w:style w:type="character" w:customStyle="1" w:styleId="57">
    <w:name w:val="列出段落 Char"/>
    <w:link w:val="58"/>
    <w:qFormat/>
    <w:locked/>
    <w:uiPriority w:val="0"/>
    <w:rPr>
      <w:rFonts w:ascii="Calibri" w:hAnsi="Calibri"/>
      <w:sz w:val="24"/>
      <w:szCs w:val="24"/>
      <w:lang w:eastAsia="en-US" w:bidi="en-US"/>
    </w:rPr>
  </w:style>
  <w:style w:type="paragraph" w:customStyle="1" w:styleId="58">
    <w:name w:val="列出段落1"/>
    <w:basedOn w:val="1"/>
    <w:link w:val="57"/>
    <w:qFormat/>
    <w:uiPriority w:val="0"/>
    <w:pPr>
      <w:widowControl/>
      <w:ind w:left="720"/>
      <w:contextualSpacing/>
      <w:jc w:val="left"/>
    </w:pPr>
    <w:rPr>
      <w:kern w:val="0"/>
      <w:sz w:val="24"/>
      <w:szCs w:val="24"/>
      <w:lang w:eastAsia="en-US" w:bidi="en-US"/>
    </w:rPr>
  </w:style>
  <w:style w:type="character" w:customStyle="1" w:styleId="59">
    <w:name w:val="标题 9 Char"/>
    <w:link w:val="14"/>
    <w:qFormat/>
    <w:uiPriority w:val="0"/>
    <w:rPr>
      <w:rFonts w:ascii="Arial" w:hAnsi="Arial" w:eastAsia="黑体"/>
      <w:kern w:val="2"/>
      <w:sz w:val="21"/>
      <w:szCs w:val="21"/>
    </w:rPr>
  </w:style>
  <w:style w:type="character" w:customStyle="1" w:styleId="60">
    <w:name w:val="样式 (符号) 宋体 小四"/>
    <w:qFormat/>
    <w:uiPriority w:val="0"/>
    <w:rPr>
      <w:rFonts w:eastAsia="宋体"/>
      <w:kern w:val="0"/>
      <w:sz w:val="24"/>
    </w:rPr>
  </w:style>
  <w:style w:type="character" w:customStyle="1" w:styleId="61">
    <w:name w:val="HTML 预设格式 Char1"/>
    <w:qFormat/>
    <w:uiPriority w:val="0"/>
    <w:rPr>
      <w:rFonts w:ascii="Courier New" w:hAnsi="Courier New" w:cs="Courier New"/>
      <w:kern w:val="2"/>
    </w:rPr>
  </w:style>
  <w:style w:type="character" w:customStyle="1" w:styleId="62">
    <w:name w:val="font5 Char"/>
    <w:qFormat/>
    <w:uiPriority w:val="0"/>
    <w:rPr>
      <w:rFonts w:ascii="宋体" w:hAnsi="宋体" w:eastAsia="宋体"/>
      <w:sz w:val="28"/>
      <w:szCs w:val="28"/>
      <w:lang w:val="en-US" w:eastAsia="zh-CN" w:bidi="ar-SA"/>
    </w:rPr>
  </w:style>
  <w:style w:type="character" w:customStyle="1" w:styleId="63">
    <w:name w:val="正文缩进2格 Char Char"/>
    <w:qFormat/>
    <w:locked/>
    <w:uiPriority w:val="99"/>
    <w:rPr>
      <w:rFonts w:ascii="仿宋_GB2312" w:hAnsi="宋体" w:eastAsia="仿宋_GB2312"/>
      <w:kern w:val="2"/>
      <w:sz w:val="28"/>
    </w:rPr>
  </w:style>
  <w:style w:type="character" w:customStyle="1" w:styleId="64">
    <w:name w:val="样式2 Char"/>
    <w:link w:val="65"/>
    <w:qFormat/>
    <w:uiPriority w:val="0"/>
    <w:rPr>
      <w:rFonts w:ascii="宋体" w:hAnsi="宋体" w:eastAsia="宋体"/>
      <w:b/>
      <w:kern w:val="2"/>
      <w:sz w:val="24"/>
      <w:szCs w:val="24"/>
    </w:rPr>
  </w:style>
  <w:style w:type="paragraph" w:customStyle="1" w:styleId="65">
    <w:name w:val="样式2"/>
    <w:basedOn w:val="19"/>
    <w:link w:val="64"/>
    <w:qFormat/>
    <w:uiPriority w:val="0"/>
    <w:rPr>
      <w:rFonts w:ascii="宋体" w:hAnsi="宋体" w:eastAsia="宋体"/>
      <w:b/>
      <w:sz w:val="24"/>
      <w:szCs w:val="24"/>
    </w:rPr>
  </w:style>
  <w:style w:type="character" w:customStyle="1" w:styleId="66">
    <w:name w:val="标题 1 Char"/>
    <w:link w:val="5"/>
    <w:qFormat/>
    <w:uiPriority w:val="0"/>
    <w:rPr>
      <w:rFonts w:ascii="楷体_GB2312" w:eastAsia="楷体_GB2312"/>
      <w:kern w:val="2"/>
      <w:sz w:val="28"/>
      <w:szCs w:val="28"/>
    </w:rPr>
  </w:style>
  <w:style w:type="character" w:customStyle="1" w:styleId="67">
    <w:name w:val="页脚 Char"/>
    <w:link w:val="29"/>
    <w:qFormat/>
    <w:uiPriority w:val="99"/>
    <w:rPr>
      <w:kern w:val="2"/>
      <w:sz w:val="18"/>
      <w:szCs w:val="18"/>
    </w:rPr>
  </w:style>
  <w:style w:type="character" w:customStyle="1" w:styleId="68">
    <w:name w:val="标题 6 Char"/>
    <w:link w:val="11"/>
    <w:qFormat/>
    <w:uiPriority w:val="0"/>
    <w:rPr>
      <w:rFonts w:ascii="Arial" w:hAnsi="Arial" w:eastAsia="黑体"/>
      <w:b/>
      <w:bCs/>
      <w:kern w:val="2"/>
      <w:sz w:val="24"/>
      <w:szCs w:val="24"/>
    </w:rPr>
  </w:style>
  <w:style w:type="character" w:customStyle="1" w:styleId="69">
    <w:name w:val="正文缩进2格 Char"/>
    <w:link w:val="70"/>
    <w:qFormat/>
    <w:uiPriority w:val="0"/>
    <w:rPr>
      <w:rFonts w:ascii="仿宋_GB2312" w:hAnsi="宋体" w:eastAsia="仿宋_GB2312"/>
      <w:kern w:val="2"/>
      <w:sz w:val="31"/>
      <w:szCs w:val="28"/>
    </w:rPr>
  </w:style>
  <w:style w:type="paragraph" w:customStyle="1" w:styleId="70">
    <w:name w:val="正文缩进2格"/>
    <w:basedOn w:val="1"/>
    <w:link w:val="69"/>
    <w:qFormat/>
    <w:uiPriority w:val="0"/>
    <w:pPr>
      <w:spacing w:line="600" w:lineRule="exact"/>
      <w:ind w:firstLine="639" w:firstLineChars="206"/>
    </w:pPr>
    <w:rPr>
      <w:rFonts w:ascii="仿宋_GB2312" w:hAnsi="宋体" w:eastAsia="仿宋_GB2312"/>
      <w:sz w:val="31"/>
      <w:szCs w:val="28"/>
    </w:rPr>
  </w:style>
  <w:style w:type="character" w:customStyle="1" w:styleId="71">
    <w:name w:val="标题 Char"/>
    <w:link w:val="43"/>
    <w:qFormat/>
    <w:uiPriority w:val="0"/>
    <w:rPr>
      <w:rFonts w:ascii="Cambria" w:hAnsi="Cambria" w:cs="Times New Roman"/>
      <w:b/>
      <w:bCs/>
      <w:kern w:val="2"/>
      <w:sz w:val="32"/>
      <w:szCs w:val="32"/>
    </w:rPr>
  </w:style>
  <w:style w:type="character" w:customStyle="1" w:styleId="72">
    <w:name w:val="正文缩进 Char"/>
    <w:link w:val="7"/>
    <w:qFormat/>
    <w:uiPriority w:val="0"/>
    <w:rPr>
      <w:kern w:val="2"/>
      <w:sz w:val="21"/>
      <w:szCs w:val="21"/>
    </w:rPr>
  </w:style>
  <w:style w:type="character" w:customStyle="1" w:styleId="73">
    <w:name w:val="标题 5 Char"/>
    <w:link w:val="10"/>
    <w:qFormat/>
    <w:uiPriority w:val="0"/>
    <w:rPr>
      <w:rFonts w:ascii="宋体"/>
      <w:color w:val="000000"/>
      <w:sz w:val="28"/>
      <w:szCs w:val="28"/>
    </w:rPr>
  </w:style>
  <w:style w:type="character" w:customStyle="1" w:styleId="74">
    <w:name w:val="二级目录 Char"/>
    <w:link w:val="75"/>
    <w:qFormat/>
    <w:uiPriority w:val="0"/>
    <w:rPr>
      <w:b/>
      <w:kern w:val="2"/>
      <w:sz w:val="30"/>
      <w:szCs w:val="28"/>
    </w:rPr>
  </w:style>
  <w:style w:type="paragraph" w:customStyle="1" w:styleId="75">
    <w:name w:val="二级目录"/>
    <w:next w:val="1"/>
    <w:link w:val="74"/>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76">
    <w:name w:val="标题 4 Char"/>
    <w:link w:val="9"/>
    <w:qFormat/>
    <w:uiPriority w:val="0"/>
    <w:rPr>
      <w:rFonts w:ascii="Arial" w:hAnsi="Arial" w:eastAsia="黑体" w:cs="Arial"/>
      <w:b/>
      <w:bCs/>
      <w:kern w:val="2"/>
      <w:sz w:val="28"/>
      <w:szCs w:val="28"/>
    </w:rPr>
  </w:style>
  <w:style w:type="character" w:customStyle="1" w:styleId="77">
    <w:name w:val="标题 8 Char"/>
    <w:link w:val="13"/>
    <w:qFormat/>
    <w:uiPriority w:val="0"/>
    <w:rPr>
      <w:rFonts w:ascii="Arial" w:hAnsi="Arial" w:eastAsia="黑体"/>
      <w:kern w:val="2"/>
      <w:sz w:val="24"/>
      <w:szCs w:val="24"/>
    </w:rPr>
  </w:style>
  <w:style w:type="character" w:customStyle="1" w:styleId="78">
    <w:name w:val="标题 2 Char"/>
    <w:link w:val="6"/>
    <w:qFormat/>
    <w:uiPriority w:val="0"/>
    <w:rPr>
      <w:rFonts w:ascii="Arial" w:hAnsi="Arial" w:eastAsia="幼圆" w:cs="Arial"/>
      <w:b/>
      <w:bCs/>
      <w:kern w:val="2"/>
      <w:sz w:val="44"/>
      <w:szCs w:val="44"/>
    </w:rPr>
  </w:style>
  <w:style w:type="character" w:customStyle="1" w:styleId="79">
    <w:name w:val="标题 7 Char"/>
    <w:link w:val="12"/>
    <w:qFormat/>
    <w:uiPriority w:val="0"/>
    <w:rPr>
      <w:b/>
      <w:bCs/>
      <w:kern w:val="2"/>
      <w:sz w:val="24"/>
      <w:szCs w:val="24"/>
    </w:rPr>
  </w:style>
  <w:style w:type="paragraph" w:customStyle="1" w:styleId="80">
    <w:name w:val="表中文字"/>
    <w:basedOn w:val="1"/>
    <w:next w:val="1"/>
    <w:qFormat/>
    <w:uiPriority w:val="0"/>
    <w:pPr>
      <w:widowControl/>
      <w:spacing w:line="320" w:lineRule="exact"/>
      <w:jc w:val="center"/>
    </w:pPr>
    <w:rPr>
      <w:color w:val="000000"/>
      <w:szCs w:val="20"/>
    </w:rPr>
  </w:style>
  <w:style w:type="paragraph" w:customStyle="1" w:styleId="81">
    <w:name w:val="Char"/>
    <w:basedOn w:val="1"/>
    <w:qFormat/>
    <w:uiPriority w:val="0"/>
    <w:pPr>
      <w:tabs>
        <w:tab w:val="left" w:pos="360"/>
      </w:tabs>
      <w:ind w:firstLine="200" w:firstLineChars="200"/>
    </w:pPr>
    <w:rPr>
      <w:sz w:val="28"/>
      <w:szCs w:val="30"/>
    </w:rPr>
  </w:style>
  <w:style w:type="paragraph" w:customStyle="1" w:styleId="8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83">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84">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85">
    <w:name w:val="Char Char Char Char Char Char Char Char Char Char"/>
    <w:basedOn w:val="1"/>
    <w:qFormat/>
    <w:uiPriority w:val="0"/>
    <w:pPr>
      <w:adjustRightInd w:val="0"/>
      <w:spacing w:line="360" w:lineRule="auto"/>
    </w:pPr>
    <w:rPr>
      <w:kern w:val="0"/>
      <w:sz w:val="24"/>
      <w:szCs w:val="20"/>
    </w:rPr>
  </w:style>
  <w:style w:type="paragraph" w:customStyle="1" w:styleId="8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88">
    <w:name w:val="纯文本1"/>
    <w:basedOn w:val="1"/>
    <w:qFormat/>
    <w:uiPriority w:val="0"/>
    <w:rPr>
      <w:rFonts w:ascii="宋体" w:hAnsi="Courier New"/>
      <w:sz w:val="28"/>
      <w:szCs w:val="24"/>
    </w:rPr>
  </w:style>
  <w:style w:type="paragraph" w:customStyle="1" w:styleId="89">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91">
    <w:name w:val="Body Text(ch)"/>
    <w:basedOn w:val="1"/>
    <w:next w:val="20"/>
    <w:qFormat/>
    <w:uiPriority w:val="0"/>
    <w:pPr>
      <w:spacing w:after="120"/>
    </w:pPr>
    <w:rPr>
      <w:rFonts w:ascii="宋体" w:hAnsi="Arial"/>
      <w:bCs/>
      <w:iCs/>
      <w:szCs w:val="24"/>
    </w:rPr>
  </w:style>
  <w:style w:type="paragraph" w:customStyle="1" w:styleId="92">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4">
    <w:name w:val="table_1stline"/>
    <w:basedOn w:val="1"/>
    <w:qFormat/>
    <w:uiPriority w:val="0"/>
    <w:pPr>
      <w:widowControl/>
      <w:spacing w:before="120"/>
      <w:jc w:val="left"/>
    </w:pPr>
    <w:rPr>
      <w:bCs/>
      <w:kern w:val="0"/>
      <w:sz w:val="20"/>
      <w:szCs w:val="20"/>
      <w:lang w:val="de-DE" w:eastAsia="de-DE"/>
    </w:rPr>
  </w:style>
  <w:style w:type="paragraph" w:customStyle="1" w:styleId="9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6">
    <w:name w:val="4"/>
    <w:basedOn w:val="1"/>
    <w:next w:val="35"/>
    <w:qFormat/>
    <w:uiPriority w:val="0"/>
    <w:pPr>
      <w:spacing w:line="360" w:lineRule="auto"/>
      <w:ind w:firstLine="420"/>
    </w:pPr>
    <w:rPr>
      <w:color w:val="FF0000"/>
      <w:sz w:val="24"/>
      <w:szCs w:val="24"/>
    </w:rPr>
  </w:style>
  <w:style w:type="paragraph" w:customStyle="1" w:styleId="9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8">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99">
    <w:name w:val="table_lines"/>
    <w:basedOn w:val="1"/>
    <w:qFormat/>
    <w:uiPriority w:val="0"/>
    <w:pPr>
      <w:widowControl/>
      <w:jc w:val="left"/>
    </w:pPr>
    <w:rPr>
      <w:kern w:val="0"/>
      <w:sz w:val="20"/>
      <w:szCs w:val="20"/>
      <w:lang w:val="de-DE" w:eastAsia="de-DE"/>
    </w:rPr>
  </w:style>
  <w:style w:type="paragraph" w:customStyle="1" w:styleId="100">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01">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2">
    <w:name w:val="TOC 标题1"/>
    <w:basedOn w:val="5"/>
    <w:next w:val="1"/>
    <w:qFormat/>
    <w:uiPriority w:val="39"/>
    <w:pPr>
      <w:keepLines/>
      <w:widowControl/>
      <w:spacing w:before="480" w:line="276" w:lineRule="auto"/>
      <w:jc w:val="left"/>
      <w:outlineLvl w:val="9"/>
    </w:pPr>
    <w:rPr>
      <w:rFonts w:ascii="Cambria" w:hAnsi="Cambria" w:eastAsia="宋体"/>
      <w:b/>
      <w:bCs/>
      <w:color w:val="365F91"/>
      <w:kern w:val="0"/>
    </w:rPr>
  </w:style>
  <w:style w:type="paragraph" w:customStyle="1" w:styleId="103">
    <w:name w:val="Char Char Char Char"/>
    <w:basedOn w:val="17"/>
    <w:qFormat/>
    <w:uiPriority w:val="0"/>
    <w:pPr>
      <w:adjustRightInd w:val="0"/>
      <w:snapToGrid w:val="0"/>
      <w:spacing w:line="360" w:lineRule="auto"/>
    </w:pPr>
    <w:rPr>
      <w:rFonts w:ascii="Tahoma" w:hAnsi="Tahoma"/>
      <w:sz w:val="24"/>
      <w:szCs w:val="24"/>
    </w:rPr>
  </w:style>
  <w:style w:type="paragraph" w:customStyle="1" w:styleId="104">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5">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06">
    <w:name w:val="附录1"/>
    <w:qFormat/>
    <w:uiPriority w:val="0"/>
    <w:pPr>
      <w:tabs>
        <w:tab w:val="left" w:pos="907"/>
      </w:tabs>
      <w:snapToGrid w:val="0"/>
      <w:spacing w:before="240" w:line="600" w:lineRule="atLeast"/>
      <w:ind w:left="907" w:hanging="907"/>
    </w:pPr>
    <w:rPr>
      <w:rFonts w:ascii="Calibri" w:hAnsi="Calibri" w:eastAsia="宋体" w:cs="Times New Roman"/>
      <w:b/>
      <w:i/>
      <w:sz w:val="28"/>
      <w:lang w:val="en-US" w:eastAsia="zh-CN" w:bidi="ar-SA"/>
    </w:rPr>
  </w:style>
  <w:style w:type="paragraph" w:customStyle="1" w:styleId="107">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8">
    <w:name w:val="Char1"/>
    <w:basedOn w:val="17"/>
    <w:qFormat/>
    <w:uiPriority w:val="0"/>
    <w:rPr>
      <w:rFonts w:ascii="Tahoma" w:hAnsi="Tahoma"/>
      <w:sz w:val="24"/>
      <w:szCs w:val="24"/>
    </w:rPr>
  </w:style>
  <w:style w:type="paragraph" w:styleId="109">
    <w:name w:val="List Paragraph"/>
    <w:basedOn w:val="1"/>
    <w:qFormat/>
    <w:uiPriority w:val="0"/>
    <w:pPr>
      <w:widowControl/>
      <w:ind w:left="720"/>
      <w:contextualSpacing/>
      <w:jc w:val="left"/>
    </w:pPr>
    <w:rPr>
      <w:kern w:val="0"/>
      <w:sz w:val="24"/>
      <w:szCs w:val="24"/>
      <w:lang w:eastAsia="en-US" w:bidi="en-US"/>
    </w:rPr>
  </w:style>
  <w:style w:type="paragraph" w:customStyle="1" w:styleId="110">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111">
    <w:name w:val="Char Char Char Char1"/>
    <w:basedOn w:val="17"/>
    <w:qFormat/>
    <w:uiPriority w:val="0"/>
    <w:pPr>
      <w:adjustRightInd w:val="0"/>
      <w:snapToGrid w:val="0"/>
      <w:spacing w:line="360" w:lineRule="auto"/>
    </w:pPr>
    <w:rPr>
      <w:rFonts w:ascii="Tahoma" w:hAnsi="Tahoma"/>
      <w:sz w:val="24"/>
      <w:szCs w:val="24"/>
    </w:rPr>
  </w:style>
  <w:style w:type="paragraph" w:customStyle="1" w:styleId="112">
    <w:name w:val="从CC出差"/>
    <w:basedOn w:val="65"/>
    <w:qFormat/>
    <w:uiPriority w:val="0"/>
  </w:style>
  <w:style w:type="paragraph" w:customStyle="1" w:styleId="113">
    <w:name w:val="样式 标题 2 + 黑色 行距: 1.5 倍行距"/>
    <w:basedOn w:val="6"/>
    <w:qFormat/>
    <w:uiPriority w:val="99"/>
    <w:pPr>
      <w:spacing w:before="0" w:after="0" w:line="560" w:lineRule="exact"/>
    </w:pPr>
    <w:rPr>
      <w:rFonts w:ascii="宋体" w:hAnsi="宋体" w:eastAsia="宋体" w:cs="仿宋_GB2312"/>
      <w:color w:val="000000"/>
    </w:rPr>
  </w:style>
  <w:style w:type="character" w:customStyle="1" w:styleId="114">
    <w:name w:val="批注文字 Char"/>
    <w:link w:val="18"/>
    <w:qFormat/>
    <w:uiPriority w:val="99"/>
    <w:rPr>
      <w:kern w:val="2"/>
      <w:sz w:val="21"/>
      <w:szCs w:val="21"/>
    </w:rPr>
  </w:style>
  <w:style w:type="paragraph" w:customStyle="1" w:styleId="115">
    <w:name w:val="修订1"/>
    <w:hidden/>
    <w:semiHidden/>
    <w:qFormat/>
    <w:uiPriority w:val="99"/>
    <w:rPr>
      <w:rFonts w:ascii="Calibri" w:hAnsi="Calibri" w:eastAsia="宋体" w:cs="Times New Roman"/>
      <w:kern w:val="2"/>
      <w:sz w:val="21"/>
      <w:szCs w:val="21"/>
      <w:lang w:val="en-US" w:eastAsia="zh-CN" w:bidi="ar-SA"/>
    </w:rPr>
  </w:style>
  <w:style w:type="paragraph" w:customStyle="1" w:styleId="116">
    <w:name w:val="Coms Alinea"/>
    <w:qFormat/>
    <w:uiPriority w:val="0"/>
    <w:pPr>
      <w:widowControl w:val="0"/>
    </w:pPr>
    <w:rPr>
      <w:rFonts w:ascii="Arial" w:hAnsi="Arial" w:eastAsia="宋体" w:cs="Arial"/>
      <w:lang w:val="en-US" w:eastAsia="zh-CN" w:bidi="ar-SA"/>
    </w:rPr>
  </w:style>
  <w:style w:type="paragraph" w:customStyle="1" w:styleId="117">
    <w:name w:val="纯文本2"/>
    <w:basedOn w:val="1"/>
    <w:qFormat/>
    <w:uiPriority w:val="0"/>
    <w:pPr>
      <w:adjustRightInd w:val="0"/>
    </w:pPr>
    <w:rPr>
      <w:rFonts w:ascii="宋体" w:hAnsi="Courier New" w:eastAsia="楷体_GB2312"/>
      <w:sz w:val="26"/>
      <w:szCs w:val="24"/>
    </w:rPr>
  </w:style>
  <w:style w:type="paragraph" w:customStyle="1" w:styleId="118">
    <w:name w:val="flName"/>
    <w:basedOn w:val="1"/>
    <w:qFormat/>
    <w:uiPriority w:val="0"/>
    <w:pPr>
      <w:adjustRightInd w:val="0"/>
      <w:spacing w:before="320" w:after="160" w:line="360" w:lineRule="atLeast"/>
      <w:jc w:val="center"/>
      <w:textAlignment w:val="baseline"/>
    </w:pPr>
    <w:rPr>
      <w:rFonts w:ascii="Arial" w:eastAsia="黑体"/>
      <w:sz w:val="32"/>
      <w:szCs w:val="22"/>
    </w:rPr>
  </w:style>
  <w:style w:type="paragraph" w:customStyle="1" w:styleId="119">
    <w:name w:val="Plain Text1"/>
    <w:basedOn w:val="1"/>
    <w:qFormat/>
    <w:uiPriority w:val="0"/>
    <w:rPr>
      <w:rFonts w:ascii="宋体" w:hAnsi="Courier New"/>
      <w:sz w:val="28"/>
      <w:szCs w:val="24"/>
    </w:rPr>
  </w:style>
  <w:style w:type="table" w:customStyle="1" w:styleId="120">
    <w:name w:val="网格型1"/>
    <w:basedOn w:val="4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9"/>
    <customShpInfo spid="_x0000_s1030"/>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微软中国</Company>
  <Pages>43</Pages>
  <Words>4228</Words>
  <Characters>24103</Characters>
  <Lines>200</Lines>
  <Paragraphs>56</Paragraphs>
  <TotalTime>412</TotalTime>
  <ScaleCrop>false</ScaleCrop>
  <LinksUpToDate>false</LinksUpToDate>
  <CharactersWithSpaces>28275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2020-06-20T07:04:00Z</dcterms:created>
  <dc:creator>政府采购中心</dc:creator>
  <cp:lastModifiedBy>YLL</cp:lastModifiedBy>
  <cp:lastPrinted>2020-05-11T06:11:00Z</cp:lastPrinted>
  <dcterms:modified xsi:type="dcterms:W3CDTF">2020-07-09T01:28:16Z</dcterms:modified>
  <dc:title>江苏卫生信息系统业务软件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