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8C9" w:rsidRDefault="004308C9" w:rsidP="004308C9">
      <w:pPr>
        <w:spacing w:line="360" w:lineRule="auto"/>
        <w:jc w:val="center"/>
        <w:rPr>
          <w:rFonts w:ascii="宋体" w:hAnsi="宋体" w:cs="宋体"/>
          <w:sz w:val="24"/>
        </w:rPr>
      </w:pPr>
      <w:r>
        <w:rPr>
          <w:rFonts w:ascii="宋体" w:hAnsi="宋体" w:cs="宋体" w:hint="eastAsia"/>
          <w:sz w:val="32"/>
          <w:szCs w:val="32"/>
        </w:rPr>
        <w:t>报价单明细表</w:t>
      </w:r>
    </w:p>
    <w:tbl>
      <w:tblPr>
        <w:tblStyle w:val="a6"/>
        <w:tblW w:w="8336" w:type="dxa"/>
        <w:tblLayout w:type="fixed"/>
        <w:tblLook w:val="04A0"/>
      </w:tblPr>
      <w:tblGrid>
        <w:gridCol w:w="1924"/>
        <w:gridCol w:w="1900"/>
        <w:gridCol w:w="1529"/>
        <w:gridCol w:w="1701"/>
        <w:gridCol w:w="1282"/>
      </w:tblGrid>
      <w:tr w:rsidR="004308C9" w:rsidTr="00DD09DA">
        <w:trPr>
          <w:trHeight w:val="139"/>
        </w:trPr>
        <w:tc>
          <w:tcPr>
            <w:tcW w:w="1924" w:type="dxa"/>
            <w:vMerge w:val="restart"/>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项目名称</w:t>
            </w:r>
          </w:p>
        </w:tc>
        <w:tc>
          <w:tcPr>
            <w:tcW w:w="1900" w:type="dxa"/>
            <w:vMerge w:val="restart"/>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预估年工作量</w:t>
            </w:r>
          </w:p>
        </w:tc>
        <w:tc>
          <w:tcPr>
            <w:tcW w:w="3230" w:type="dxa"/>
            <w:gridSpan w:val="2"/>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报     价</w:t>
            </w:r>
          </w:p>
        </w:tc>
        <w:tc>
          <w:tcPr>
            <w:tcW w:w="1282" w:type="dxa"/>
            <w:vMerge w:val="restart"/>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权重比率</w:t>
            </w:r>
          </w:p>
        </w:tc>
      </w:tr>
      <w:tr w:rsidR="004308C9" w:rsidTr="00DD09DA">
        <w:trPr>
          <w:trHeight w:val="90"/>
        </w:trPr>
        <w:tc>
          <w:tcPr>
            <w:tcW w:w="1924" w:type="dxa"/>
            <w:vMerge/>
            <w:vAlign w:val="center"/>
          </w:tcPr>
          <w:p w:rsidR="004308C9" w:rsidRDefault="004308C9" w:rsidP="00DD09DA">
            <w:pPr>
              <w:ind w:left="440"/>
              <w:jc w:val="center"/>
              <w:rPr>
                <w:rFonts w:ascii="宋体" w:hAnsi="宋体" w:cs="宋体"/>
                <w:b/>
                <w:bCs/>
                <w:sz w:val="28"/>
                <w:szCs w:val="28"/>
              </w:rPr>
            </w:pPr>
          </w:p>
        </w:tc>
        <w:tc>
          <w:tcPr>
            <w:tcW w:w="1900" w:type="dxa"/>
            <w:vMerge/>
            <w:vAlign w:val="center"/>
          </w:tcPr>
          <w:p w:rsidR="004308C9" w:rsidRDefault="004308C9" w:rsidP="00DD09DA">
            <w:pPr>
              <w:ind w:left="440"/>
              <w:jc w:val="center"/>
              <w:rPr>
                <w:rFonts w:ascii="宋体" w:hAnsi="宋体" w:cs="宋体"/>
                <w:b/>
                <w:bCs/>
                <w:sz w:val="28"/>
                <w:szCs w:val="28"/>
              </w:rPr>
            </w:pPr>
          </w:p>
        </w:tc>
        <w:tc>
          <w:tcPr>
            <w:tcW w:w="1529" w:type="dxa"/>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单价</w:t>
            </w:r>
          </w:p>
        </w:tc>
        <w:tc>
          <w:tcPr>
            <w:tcW w:w="1701" w:type="dxa"/>
            <w:vAlign w:val="center"/>
          </w:tcPr>
          <w:p w:rsidR="004308C9" w:rsidRDefault="004308C9" w:rsidP="00DD09DA">
            <w:pPr>
              <w:jc w:val="center"/>
              <w:rPr>
                <w:rFonts w:ascii="宋体" w:hAnsi="宋体" w:cs="宋体"/>
                <w:b/>
                <w:bCs/>
                <w:sz w:val="24"/>
              </w:rPr>
            </w:pPr>
            <w:r>
              <w:rPr>
                <w:rFonts w:ascii="宋体" w:hAnsi="宋体" w:cs="宋体" w:hint="eastAsia"/>
                <w:b/>
                <w:bCs/>
                <w:sz w:val="24"/>
                <w:szCs w:val="24"/>
              </w:rPr>
              <w:t>预估总价（元）</w:t>
            </w:r>
          </w:p>
        </w:tc>
        <w:tc>
          <w:tcPr>
            <w:tcW w:w="1282" w:type="dxa"/>
            <w:vMerge/>
            <w:vAlign w:val="center"/>
          </w:tcPr>
          <w:p w:rsidR="004308C9" w:rsidRDefault="004308C9" w:rsidP="00DD09DA">
            <w:pPr>
              <w:ind w:left="440"/>
              <w:jc w:val="center"/>
              <w:rPr>
                <w:rFonts w:ascii="宋体" w:hAnsi="宋体" w:cs="宋体"/>
                <w:b/>
                <w:bCs/>
                <w:sz w:val="28"/>
                <w:szCs w:val="28"/>
              </w:rPr>
            </w:pPr>
          </w:p>
        </w:tc>
      </w:tr>
      <w:tr w:rsidR="004308C9" w:rsidTr="00DD09DA">
        <w:trPr>
          <w:trHeight w:val="454"/>
        </w:trPr>
        <w:tc>
          <w:tcPr>
            <w:tcW w:w="1924" w:type="dxa"/>
            <w:vAlign w:val="center"/>
          </w:tcPr>
          <w:p w:rsidR="004308C9" w:rsidRDefault="004308C9" w:rsidP="00DD09DA">
            <w:pPr>
              <w:jc w:val="center"/>
              <w:rPr>
                <w:rFonts w:ascii="宋体" w:hAnsi="宋体" w:cs="宋体"/>
                <w:sz w:val="24"/>
              </w:rPr>
            </w:pPr>
            <w:r>
              <w:rPr>
                <w:rFonts w:ascii="宋体" w:hAnsi="宋体" w:cs="宋体" w:hint="eastAsia"/>
                <w:sz w:val="24"/>
                <w:szCs w:val="24"/>
              </w:rPr>
              <w:t>清理疏通化粪池</w:t>
            </w:r>
          </w:p>
        </w:tc>
        <w:tc>
          <w:tcPr>
            <w:tcW w:w="1900" w:type="dxa"/>
            <w:vAlign w:val="center"/>
          </w:tcPr>
          <w:p w:rsidR="004308C9" w:rsidRDefault="004308C9" w:rsidP="00DD09DA">
            <w:pPr>
              <w:jc w:val="center"/>
              <w:rPr>
                <w:rFonts w:ascii="宋体" w:hAnsi="宋体" w:cs="宋体"/>
                <w:sz w:val="24"/>
              </w:rPr>
            </w:pPr>
            <w:r>
              <w:rPr>
                <w:rFonts w:ascii="宋体" w:hAnsi="宋体" w:cs="宋体" w:hint="eastAsia"/>
                <w:sz w:val="24"/>
                <w:szCs w:val="24"/>
              </w:rPr>
              <w:t>140 车（车辆承载至少6吨）</w:t>
            </w:r>
          </w:p>
        </w:tc>
        <w:tc>
          <w:tcPr>
            <w:tcW w:w="1529" w:type="dxa"/>
            <w:vAlign w:val="center"/>
          </w:tcPr>
          <w:p w:rsidR="004308C9" w:rsidRDefault="004308C9" w:rsidP="00DD09DA">
            <w:pPr>
              <w:jc w:val="right"/>
              <w:rPr>
                <w:rFonts w:ascii="宋体" w:hAnsi="宋体" w:cs="宋体"/>
                <w:sz w:val="24"/>
              </w:rPr>
            </w:pPr>
            <w:r>
              <w:rPr>
                <w:rFonts w:ascii="宋体" w:hAnsi="宋体" w:cs="宋体" w:hint="eastAsia"/>
                <w:sz w:val="24"/>
                <w:szCs w:val="24"/>
              </w:rPr>
              <w:t>元/车</w:t>
            </w:r>
          </w:p>
        </w:tc>
        <w:tc>
          <w:tcPr>
            <w:tcW w:w="1701" w:type="dxa"/>
            <w:vAlign w:val="center"/>
          </w:tcPr>
          <w:p w:rsidR="004308C9" w:rsidRDefault="004308C9" w:rsidP="00DD09DA">
            <w:pPr>
              <w:ind w:left="440"/>
              <w:jc w:val="center"/>
              <w:rPr>
                <w:rFonts w:ascii="宋体" w:hAnsi="宋体" w:cs="宋体"/>
                <w:sz w:val="24"/>
              </w:rPr>
            </w:pPr>
          </w:p>
        </w:tc>
        <w:tc>
          <w:tcPr>
            <w:tcW w:w="1282" w:type="dxa"/>
            <w:vAlign w:val="center"/>
          </w:tcPr>
          <w:p w:rsidR="004308C9" w:rsidRDefault="004308C9" w:rsidP="00DD09DA">
            <w:pPr>
              <w:jc w:val="center"/>
              <w:rPr>
                <w:rFonts w:ascii="宋体" w:hAnsi="宋体" w:cs="宋体"/>
                <w:sz w:val="24"/>
              </w:rPr>
            </w:pPr>
            <w:r>
              <w:rPr>
                <w:rFonts w:ascii="宋体" w:hAnsi="宋体" w:cs="宋体" w:hint="eastAsia"/>
                <w:sz w:val="24"/>
                <w:szCs w:val="24"/>
              </w:rPr>
              <w:t>60%</w:t>
            </w:r>
          </w:p>
        </w:tc>
      </w:tr>
      <w:tr w:rsidR="004308C9" w:rsidTr="00DD09DA">
        <w:trPr>
          <w:trHeight w:val="464"/>
        </w:trPr>
        <w:tc>
          <w:tcPr>
            <w:tcW w:w="1924" w:type="dxa"/>
            <w:vAlign w:val="center"/>
          </w:tcPr>
          <w:p w:rsidR="004308C9" w:rsidRDefault="004308C9" w:rsidP="00DD09DA">
            <w:pPr>
              <w:jc w:val="center"/>
              <w:rPr>
                <w:rFonts w:ascii="宋体" w:hAnsi="宋体" w:cs="宋体"/>
                <w:sz w:val="24"/>
              </w:rPr>
            </w:pPr>
            <w:r>
              <w:rPr>
                <w:rFonts w:ascii="宋体" w:hAnsi="宋体" w:cs="宋体" w:hint="eastAsia"/>
                <w:sz w:val="24"/>
                <w:szCs w:val="24"/>
              </w:rPr>
              <w:t>高压冲洗管道</w:t>
            </w:r>
          </w:p>
        </w:tc>
        <w:tc>
          <w:tcPr>
            <w:tcW w:w="1900" w:type="dxa"/>
            <w:vAlign w:val="center"/>
          </w:tcPr>
          <w:p w:rsidR="004308C9" w:rsidRDefault="004308C9" w:rsidP="00DD09DA">
            <w:pPr>
              <w:jc w:val="center"/>
              <w:rPr>
                <w:rFonts w:ascii="宋体" w:hAnsi="宋体" w:cs="宋体"/>
                <w:sz w:val="24"/>
              </w:rPr>
            </w:pPr>
            <w:r>
              <w:rPr>
                <w:rFonts w:ascii="宋体" w:hAnsi="宋体" w:cs="宋体" w:hint="eastAsia"/>
                <w:sz w:val="24"/>
                <w:szCs w:val="24"/>
              </w:rPr>
              <w:t>1200 米</w:t>
            </w:r>
          </w:p>
        </w:tc>
        <w:tc>
          <w:tcPr>
            <w:tcW w:w="1529" w:type="dxa"/>
            <w:vAlign w:val="center"/>
          </w:tcPr>
          <w:p w:rsidR="004308C9" w:rsidRDefault="004308C9" w:rsidP="00DD09DA">
            <w:pPr>
              <w:jc w:val="right"/>
              <w:rPr>
                <w:rFonts w:ascii="宋体" w:hAnsi="宋体" w:cs="宋体"/>
                <w:sz w:val="24"/>
              </w:rPr>
            </w:pPr>
            <w:r>
              <w:rPr>
                <w:rFonts w:ascii="宋体" w:hAnsi="宋体" w:cs="宋体" w:hint="eastAsia"/>
                <w:sz w:val="24"/>
                <w:szCs w:val="24"/>
              </w:rPr>
              <w:t>元/米</w:t>
            </w:r>
          </w:p>
        </w:tc>
        <w:tc>
          <w:tcPr>
            <w:tcW w:w="1701" w:type="dxa"/>
            <w:vAlign w:val="center"/>
          </w:tcPr>
          <w:p w:rsidR="004308C9" w:rsidRDefault="004308C9" w:rsidP="00DD09DA">
            <w:pPr>
              <w:ind w:left="440"/>
              <w:jc w:val="center"/>
              <w:rPr>
                <w:rFonts w:ascii="宋体" w:hAnsi="宋体" w:cs="宋体"/>
                <w:sz w:val="24"/>
              </w:rPr>
            </w:pPr>
          </w:p>
        </w:tc>
        <w:tc>
          <w:tcPr>
            <w:tcW w:w="1282" w:type="dxa"/>
            <w:vAlign w:val="center"/>
          </w:tcPr>
          <w:p w:rsidR="004308C9" w:rsidRDefault="004308C9" w:rsidP="00DD09DA">
            <w:pPr>
              <w:jc w:val="center"/>
              <w:rPr>
                <w:rFonts w:ascii="宋体" w:hAnsi="宋体" w:cs="宋体"/>
                <w:sz w:val="24"/>
              </w:rPr>
            </w:pPr>
            <w:r>
              <w:rPr>
                <w:rFonts w:ascii="宋体" w:hAnsi="宋体" w:cs="宋体" w:hint="eastAsia"/>
                <w:sz w:val="24"/>
                <w:szCs w:val="24"/>
              </w:rPr>
              <w:t>30%</w:t>
            </w:r>
          </w:p>
        </w:tc>
      </w:tr>
      <w:tr w:rsidR="004308C9" w:rsidTr="00DD09DA">
        <w:trPr>
          <w:trHeight w:val="466"/>
        </w:trPr>
        <w:tc>
          <w:tcPr>
            <w:tcW w:w="1924" w:type="dxa"/>
            <w:vAlign w:val="center"/>
          </w:tcPr>
          <w:p w:rsidR="004308C9" w:rsidRDefault="004308C9" w:rsidP="00DD09DA">
            <w:pPr>
              <w:jc w:val="center"/>
              <w:rPr>
                <w:rFonts w:ascii="宋体" w:hAnsi="宋体" w:cs="宋体"/>
                <w:sz w:val="24"/>
              </w:rPr>
            </w:pPr>
            <w:r>
              <w:rPr>
                <w:rFonts w:ascii="宋体" w:hAnsi="宋体" w:cs="宋体" w:hint="eastAsia"/>
                <w:sz w:val="24"/>
                <w:szCs w:val="24"/>
              </w:rPr>
              <w:t>疏通总管</w:t>
            </w:r>
          </w:p>
        </w:tc>
        <w:tc>
          <w:tcPr>
            <w:tcW w:w="1900" w:type="dxa"/>
            <w:vAlign w:val="center"/>
          </w:tcPr>
          <w:p w:rsidR="004308C9" w:rsidRDefault="004308C9" w:rsidP="00DD09DA">
            <w:pPr>
              <w:jc w:val="center"/>
              <w:rPr>
                <w:rFonts w:ascii="宋体" w:hAnsi="宋体" w:cs="宋体"/>
                <w:sz w:val="24"/>
              </w:rPr>
            </w:pPr>
            <w:r>
              <w:rPr>
                <w:rFonts w:ascii="宋体" w:hAnsi="宋体" w:cs="宋体" w:hint="eastAsia"/>
                <w:sz w:val="24"/>
                <w:szCs w:val="24"/>
              </w:rPr>
              <w:t>40 次</w:t>
            </w:r>
          </w:p>
        </w:tc>
        <w:tc>
          <w:tcPr>
            <w:tcW w:w="1529" w:type="dxa"/>
            <w:vAlign w:val="center"/>
          </w:tcPr>
          <w:p w:rsidR="004308C9" w:rsidRDefault="004308C9" w:rsidP="00DD09DA">
            <w:pPr>
              <w:jc w:val="right"/>
              <w:rPr>
                <w:rFonts w:ascii="宋体" w:hAnsi="宋体" w:cs="宋体"/>
                <w:sz w:val="24"/>
              </w:rPr>
            </w:pPr>
            <w:r>
              <w:rPr>
                <w:rFonts w:ascii="宋体" w:hAnsi="宋体" w:cs="宋体" w:hint="eastAsia"/>
                <w:sz w:val="24"/>
                <w:szCs w:val="24"/>
              </w:rPr>
              <w:t>元/次</w:t>
            </w:r>
          </w:p>
        </w:tc>
        <w:tc>
          <w:tcPr>
            <w:tcW w:w="1701" w:type="dxa"/>
            <w:vAlign w:val="center"/>
          </w:tcPr>
          <w:p w:rsidR="004308C9" w:rsidRDefault="004308C9" w:rsidP="00DD09DA">
            <w:pPr>
              <w:ind w:left="440"/>
              <w:jc w:val="center"/>
              <w:rPr>
                <w:rFonts w:ascii="宋体" w:hAnsi="宋体" w:cs="宋体"/>
                <w:sz w:val="24"/>
              </w:rPr>
            </w:pPr>
          </w:p>
        </w:tc>
        <w:tc>
          <w:tcPr>
            <w:tcW w:w="1282" w:type="dxa"/>
            <w:vAlign w:val="center"/>
          </w:tcPr>
          <w:p w:rsidR="004308C9" w:rsidRDefault="004308C9" w:rsidP="00DD09DA">
            <w:pPr>
              <w:jc w:val="center"/>
              <w:rPr>
                <w:rFonts w:ascii="宋体" w:hAnsi="宋体" w:cs="宋体"/>
                <w:sz w:val="24"/>
              </w:rPr>
            </w:pPr>
            <w:r>
              <w:rPr>
                <w:rFonts w:ascii="宋体" w:hAnsi="宋体" w:cs="宋体" w:hint="eastAsia"/>
                <w:sz w:val="24"/>
                <w:szCs w:val="24"/>
              </w:rPr>
              <w:t>8%</w:t>
            </w:r>
          </w:p>
        </w:tc>
      </w:tr>
      <w:tr w:rsidR="004308C9" w:rsidTr="00DD09DA">
        <w:trPr>
          <w:trHeight w:val="549"/>
        </w:trPr>
        <w:tc>
          <w:tcPr>
            <w:tcW w:w="1924" w:type="dxa"/>
            <w:vAlign w:val="center"/>
          </w:tcPr>
          <w:p w:rsidR="004308C9" w:rsidRDefault="004308C9" w:rsidP="00DD09DA">
            <w:pPr>
              <w:jc w:val="center"/>
              <w:rPr>
                <w:rFonts w:ascii="宋体" w:hAnsi="宋体" w:cs="宋体"/>
                <w:sz w:val="24"/>
              </w:rPr>
            </w:pPr>
            <w:r>
              <w:rPr>
                <w:rFonts w:ascii="宋体" w:hAnsi="宋体" w:cs="宋体" w:hint="eastAsia"/>
                <w:sz w:val="24"/>
                <w:szCs w:val="24"/>
              </w:rPr>
              <w:t>疏通次管</w:t>
            </w:r>
          </w:p>
        </w:tc>
        <w:tc>
          <w:tcPr>
            <w:tcW w:w="1900" w:type="dxa"/>
            <w:vAlign w:val="center"/>
          </w:tcPr>
          <w:p w:rsidR="004308C9" w:rsidRDefault="004308C9" w:rsidP="00DD09DA">
            <w:pPr>
              <w:jc w:val="center"/>
              <w:rPr>
                <w:rFonts w:ascii="宋体" w:hAnsi="宋体" w:cs="宋体"/>
                <w:sz w:val="24"/>
              </w:rPr>
            </w:pPr>
            <w:r>
              <w:rPr>
                <w:rFonts w:ascii="宋体" w:hAnsi="宋体" w:cs="宋体" w:hint="eastAsia"/>
                <w:sz w:val="24"/>
                <w:szCs w:val="24"/>
              </w:rPr>
              <w:t>30 次</w:t>
            </w:r>
          </w:p>
        </w:tc>
        <w:tc>
          <w:tcPr>
            <w:tcW w:w="1529" w:type="dxa"/>
            <w:vAlign w:val="center"/>
          </w:tcPr>
          <w:p w:rsidR="004308C9" w:rsidRDefault="004308C9" w:rsidP="00DD09DA">
            <w:pPr>
              <w:jc w:val="right"/>
              <w:rPr>
                <w:rFonts w:ascii="宋体" w:hAnsi="宋体" w:cs="宋体"/>
                <w:sz w:val="24"/>
              </w:rPr>
            </w:pPr>
            <w:r>
              <w:rPr>
                <w:rFonts w:ascii="宋体" w:hAnsi="宋体" w:cs="宋体" w:hint="eastAsia"/>
                <w:sz w:val="24"/>
                <w:szCs w:val="24"/>
              </w:rPr>
              <w:t>元/次</w:t>
            </w:r>
          </w:p>
        </w:tc>
        <w:tc>
          <w:tcPr>
            <w:tcW w:w="1701" w:type="dxa"/>
            <w:vAlign w:val="center"/>
          </w:tcPr>
          <w:p w:rsidR="004308C9" w:rsidRDefault="004308C9" w:rsidP="00DD09DA">
            <w:pPr>
              <w:ind w:left="440"/>
              <w:jc w:val="center"/>
              <w:rPr>
                <w:rFonts w:ascii="宋体" w:hAnsi="宋体" w:cs="宋体"/>
                <w:sz w:val="24"/>
              </w:rPr>
            </w:pPr>
          </w:p>
        </w:tc>
        <w:tc>
          <w:tcPr>
            <w:tcW w:w="1282" w:type="dxa"/>
            <w:vAlign w:val="center"/>
          </w:tcPr>
          <w:p w:rsidR="004308C9" w:rsidRDefault="004308C9" w:rsidP="00DD09DA">
            <w:pPr>
              <w:jc w:val="center"/>
              <w:rPr>
                <w:rFonts w:ascii="宋体" w:hAnsi="宋体" w:cs="宋体"/>
                <w:sz w:val="24"/>
              </w:rPr>
            </w:pPr>
            <w:r>
              <w:rPr>
                <w:rFonts w:ascii="宋体" w:hAnsi="宋体" w:cs="宋体" w:hint="eastAsia"/>
                <w:sz w:val="24"/>
                <w:szCs w:val="24"/>
              </w:rPr>
              <w:t>2%</w:t>
            </w:r>
          </w:p>
        </w:tc>
      </w:tr>
      <w:tr w:rsidR="004308C9" w:rsidTr="00DD09DA">
        <w:trPr>
          <w:trHeight w:val="487"/>
        </w:trPr>
        <w:tc>
          <w:tcPr>
            <w:tcW w:w="5353" w:type="dxa"/>
            <w:gridSpan w:val="3"/>
            <w:vAlign w:val="center"/>
          </w:tcPr>
          <w:p w:rsidR="004308C9" w:rsidRDefault="004308C9" w:rsidP="00DD09DA">
            <w:pPr>
              <w:ind w:left="440"/>
              <w:jc w:val="center"/>
              <w:rPr>
                <w:rFonts w:ascii="宋体" w:hAnsi="宋体" w:cs="宋体"/>
                <w:sz w:val="24"/>
              </w:rPr>
            </w:pPr>
            <w:r>
              <w:rPr>
                <w:rFonts w:ascii="宋体" w:hAnsi="宋体" w:cs="宋体" w:hint="eastAsia"/>
                <w:sz w:val="24"/>
                <w:szCs w:val="24"/>
              </w:rPr>
              <w:t>合计</w:t>
            </w:r>
          </w:p>
        </w:tc>
        <w:tc>
          <w:tcPr>
            <w:tcW w:w="1701" w:type="dxa"/>
            <w:vAlign w:val="center"/>
          </w:tcPr>
          <w:p w:rsidR="004308C9" w:rsidRDefault="004308C9" w:rsidP="00DD09DA">
            <w:pPr>
              <w:ind w:left="440"/>
              <w:jc w:val="center"/>
              <w:rPr>
                <w:rFonts w:ascii="宋体" w:hAnsi="宋体" w:cs="宋体"/>
                <w:sz w:val="24"/>
              </w:rPr>
            </w:pPr>
          </w:p>
        </w:tc>
        <w:tc>
          <w:tcPr>
            <w:tcW w:w="1282" w:type="dxa"/>
            <w:vAlign w:val="center"/>
          </w:tcPr>
          <w:p w:rsidR="004308C9" w:rsidRDefault="004308C9" w:rsidP="00DD09DA">
            <w:pPr>
              <w:jc w:val="center"/>
              <w:rPr>
                <w:rFonts w:ascii="宋体" w:hAnsi="宋体" w:cs="宋体"/>
                <w:sz w:val="24"/>
              </w:rPr>
            </w:pPr>
            <w:r>
              <w:rPr>
                <w:rFonts w:ascii="宋体" w:hAnsi="宋体" w:cs="宋体" w:hint="eastAsia"/>
                <w:sz w:val="24"/>
                <w:szCs w:val="24"/>
              </w:rPr>
              <w:t>100%</w:t>
            </w:r>
          </w:p>
        </w:tc>
      </w:tr>
    </w:tbl>
    <w:p w:rsidR="004308C9" w:rsidRDefault="004308C9" w:rsidP="004308C9">
      <w:pPr>
        <w:rPr>
          <w:rFonts w:ascii="宋体" w:eastAsia="宋体" w:hAnsi="宋体" w:cs="宋体"/>
          <w:sz w:val="24"/>
        </w:rPr>
      </w:pPr>
      <w:r>
        <w:rPr>
          <w:rFonts w:ascii="宋体" w:eastAsia="宋体" w:hAnsi="宋体" w:cs="宋体" w:hint="eastAsia"/>
          <w:sz w:val="24"/>
          <w:szCs w:val="24"/>
        </w:rPr>
        <w:t>报价说明：</w:t>
      </w:r>
    </w:p>
    <w:p w:rsidR="004308C9" w:rsidRDefault="004308C9" w:rsidP="004308C9">
      <w:pPr>
        <w:spacing w:line="360" w:lineRule="auto"/>
        <w:ind w:firstLineChars="200" w:firstLine="482"/>
        <w:rPr>
          <w:rFonts w:ascii="宋体" w:eastAsia="宋体" w:hAnsi="宋体" w:cs="宋体"/>
          <w:b/>
          <w:bCs/>
          <w:sz w:val="24"/>
          <w:u w:val="single"/>
        </w:rPr>
      </w:pPr>
      <w:r>
        <w:rPr>
          <w:rFonts w:ascii="宋体" w:eastAsia="宋体" w:hAnsi="宋体" w:cs="宋体" w:hint="eastAsia"/>
          <w:b/>
          <w:bCs/>
          <w:sz w:val="24"/>
          <w:szCs w:val="24"/>
          <w:u w:val="single"/>
        </w:rPr>
        <w:t>1.预估总价的合计超过询价的限价为无效投标。</w:t>
      </w:r>
    </w:p>
    <w:p w:rsidR="004308C9" w:rsidRDefault="004308C9" w:rsidP="004308C9">
      <w:pPr>
        <w:spacing w:line="360" w:lineRule="auto"/>
        <w:ind w:firstLineChars="200" w:firstLine="480"/>
        <w:rPr>
          <w:rFonts w:ascii="宋体" w:eastAsia="宋体" w:hAnsi="宋体" w:cs="宋体"/>
          <w:sz w:val="24"/>
        </w:rPr>
      </w:pPr>
      <w:r>
        <w:rPr>
          <w:rFonts w:ascii="宋体" w:eastAsia="宋体" w:hAnsi="宋体" w:cs="宋体" w:hint="eastAsia"/>
          <w:sz w:val="24"/>
          <w:szCs w:val="24"/>
        </w:rPr>
        <w:t>2.权重比率和预估总价用于竞标排名，询价报价得分最高者中标。单价与预估项目总价不一致时，以单价为准测算预估项目总价。</w:t>
      </w:r>
      <w:r>
        <w:rPr>
          <w:rFonts w:ascii="宋体" w:eastAsia="宋体" w:hAnsi="宋体" w:cs="宋体" w:hint="eastAsia"/>
          <w:sz w:val="24"/>
          <w:szCs w:val="24"/>
          <w:u w:val="single"/>
        </w:rPr>
        <w:t>实际结算按投标报价的单价和实际工作量计算确定</w:t>
      </w:r>
      <w:r>
        <w:rPr>
          <w:rFonts w:ascii="宋体" w:eastAsia="宋体" w:hAnsi="宋体" w:cs="宋体" w:hint="eastAsia"/>
          <w:sz w:val="24"/>
          <w:szCs w:val="24"/>
        </w:rPr>
        <w:t xml:space="preserve">。                        </w:t>
      </w:r>
    </w:p>
    <w:p w:rsidR="004308C9" w:rsidRDefault="004308C9" w:rsidP="004308C9">
      <w:pPr>
        <w:pStyle w:val="7"/>
        <w:keepNext w:val="0"/>
        <w:keepLines w:val="0"/>
        <w:numPr>
          <w:ilvl w:val="0"/>
          <w:numId w:val="0"/>
        </w:numPr>
        <w:tabs>
          <w:tab w:val="left" w:pos="928"/>
        </w:tabs>
        <w:adjustRightInd w:val="0"/>
        <w:spacing w:before="0" w:after="0" w:line="360" w:lineRule="auto"/>
        <w:ind w:firstLineChars="200" w:firstLine="480"/>
        <w:textAlignment w:val="baseline"/>
        <w:rPr>
          <w:rFonts w:ascii="宋体" w:eastAsia="宋体" w:hAnsi="宋体" w:cs="宋体"/>
          <w:b w:val="0"/>
          <w:bCs w:val="0"/>
        </w:rPr>
      </w:pPr>
      <w:r>
        <w:rPr>
          <w:rFonts w:ascii="宋体" w:eastAsia="宋体" w:hAnsi="宋体" w:cs="宋体" w:hint="eastAsia"/>
          <w:b w:val="0"/>
          <w:bCs w:val="0"/>
        </w:rPr>
        <w:t>3.具体评分方法：</w:t>
      </w:r>
    </w:p>
    <w:p w:rsidR="004308C9" w:rsidRDefault="004308C9" w:rsidP="004308C9">
      <w:pPr>
        <w:pStyle w:val="7"/>
        <w:keepNext w:val="0"/>
        <w:keepLines w:val="0"/>
        <w:numPr>
          <w:ilvl w:val="0"/>
          <w:numId w:val="0"/>
        </w:numPr>
        <w:tabs>
          <w:tab w:val="left" w:pos="928"/>
        </w:tabs>
        <w:adjustRightInd w:val="0"/>
        <w:spacing w:before="0" w:after="0" w:line="360" w:lineRule="auto"/>
        <w:ind w:firstLineChars="200" w:firstLine="480"/>
        <w:textAlignment w:val="baseline"/>
        <w:rPr>
          <w:rFonts w:ascii="宋体" w:eastAsia="宋体" w:hAnsi="宋体" w:cs="宋体"/>
          <w:b w:val="0"/>
          <w:bCs w:val="0"/>
        </w:rPr>
      </w:pPr>
      <w:r>
        <w:rPr>
          <w:rFonts w:ascii="宋体" w:eastAsia="宋体" w:hAnsi="宋体" w:cs="宋体" w:hint="eastAsia"/>
          <w:b w:val="0"/>
          <w:bCs w:val="0"/>
        </w:rPr>
        <w:t>（1）评审报价时，对该四项的单项报价分别评审。即报价分总分为100分，其中清理维护化粪池的单项报价总分（即满分）为60分，高压冲洗管道的单项报价总分（即满分）为30分，疏通总管的单项报价总分（即满分）为8分，疏通次管的单项报价总分（即满分）为2分。</w:t>
      </w:r>
    </w:p>
    <w:p w:rsidR="004308C9" w:rsidRDefault="004308C9" w:rsidP="004308C9">
      <w:pPr>
        <w:pStyle w:val="7"/>
        <w:keepNext w:val="0"/>
        <w:keepLines w:val="0"/>
        <w:numPr>
          <w:ilvl w:val="0"/>
          <w:numId w:val="0"/>
        </w:numPr>
        <w:tabs>
          <w:tab w:val="left" w:pos="928"/>
        </w:tabs>
        <w:adjustRightInd w:val="0"/>
        <w:spacing w:before="0" w:after="0" w:line="360" w:lineRule="auto"/>
        <w:ind w:firstLineChars="200" w:firstLine="480"/>
        <w:textAlignment w:val="baseline"/>
        <w:rPr>
          <w:rFonts w:ascii="宋体" w:eastAsia="宋体" w:hAnsi="宋体" w:cs="宋体"/>
          <w:b w:val="0"/>
          <w:bCs w:val="0"/>
        </w:rPr>
      </w:pPr>
      <w:r>
        <w:rPr>
          <w:rFonts w:ascii="宋体" w:eastAsia="宋体" w:hAnsi="宋体" w:cs="宋体" w:hint="eastAsia"/>
          <w:b w:val="0"/>
          <w:bCs w:val="0"/>
          <w:u w:val="single"/>
        </w:rPr>
        <w:t>每个单项满足询价文件要求且单项总价最低的为该单项的评标基准价</w:t>
      </w:r>
      <w:r>
        <w:rPr>
          <w:rFonts w:ascii="宋体" w:eastAsia="宋体" w:hAnsi="宋体" w:cs="宋体" w:hint="eastAsia"/>
          <w:b w:val="0"/>
          <w:bCs w:val="0"/>
        </w:rPr>
        <w:t>，其单项价格分为该项的满分, 其他供应商的价格分统一按照下列公式计算：</w:t>
      </w:r>
    </w:p>
    <w:p w:rsidR="004308C9" w:rsidRDefault="004308C9" w:rsidP="004308C9">
      <w:pPr>
        <w:spacing w:line="360" w:lineRule="auto"/>
        <w:ind w:firstLineChars="200" w:firstLine="480"/>
        <w:rPr>
          <w:rFonts w:ascii="宋体" w:eastAsia="宋体" w:hAnsi="宋体" w:cs="宋体"/>
          <w:sz w:val="24"/>
        </w:rPr>
      </w:pPr>
      <w:r>
        <w:rPr>
          <w:rFonts w:ascii="宋体" w:eastAsia="宋体" w:hAnsi="宋体" w:cs="宋体" w:hint="eastAsia"/>
          <w:sz w:val="24"/>
          <w:szCs w:val="24"/>
        </w:rPr>
        <w:t>①清理维护化粪池的单项报价得分=（单项评标基准价/单项总价）×报价权值60%×100</w:t>
      </w:r>
    </w:p>
    <w:p w:rsidR="004308C9" w:rsidRDefault="004308C9" w:rsidP="004308C9">
      <w:pPr>
        <w:spacing w:line="360" w:lineRule="auto"/>
        <w:ind w:firstLineChars="200" w:firstLine="480"/>
        <w:rPr>
          <w:rFonts w:ascii="宋体" w:eastAsia="宋体" w:hAnsi="宋体" w:cs="宋体"/>
          <w:sz w:val="24"/>
        </w:rPr>
      </w:pPr>
      <w:r>
        <w:rPr>
          <w:rFonts w:ascii="宋体" w:eastAsia="宋体" w:hAnsi="宋体" w:cs="宋体" w:hint="eastAsia"/>
          <w:sz w:val="24"/>
          <w:szCs w:val="24"/>
        </w:rPr>
        <w:t>②高压冲洗管道的单项报价得分=（单项评标基准价/单项总价）×报价权值32%×100</w:t>
      </w:r>
    </w:p>
    <w:p w:rsidR="004308C9" w:rsidRDefault="004308C9" w:rsidP="004308C9">
      <w:pPr>
        <w:spacing w:line="360" w:lineRule="auto"/>
        <w:ind w:firstLineChars="200" w:firstLine="480"/>
        <w:rPr>
          <w:rFonts w:ascii="宋体" w:eastAsia="宋体" w:hAnsi="宋体" w:cs="宋体"/>
          <w:sz w:val="24"/>
        </w:rPr>
      </w:pPr>
      <w:r>
        <w:rPr>
          <w:rFonts w:ascii="宋体" w:eastAsia="宋体" w:hAnsi="宋体" w:cs="宋体" w:hint="eastAsia"/>
          <w:sz w:val="24"/>
          <w:szCs w:val="24"/>
        </w:rPr>
        <w:t>③疏通总管的单项报价得分=（单项评标基准价/单项总价）×报价权值6%×100</w:t>
      </w:r>
    </w:p>
    <w:p w:rsidR="004308C9" w:rsidRDefault="004308C9" w:rsidP="004308C9">
      <w:pPr>
        <w:pStyle w:val="2"/>
        <w:ind w:firstLine="480"/>
        <w:rPr>
          <w:rFonts w:cs="宋体"/>
          <w:sz w:val="24"/>
          <w:szCs w:val="24"/>
        </w:rPr>
      </w:pPr>
      <w:r>
        <w:rPr>
          <w:rFonts w:cs="宋体" w:hint="eastAsia"/>
          <w:sz w:val="24"/>
          <w:szCs w:val="24"/>
        </w:rPr>
        <w:lastRenderedPageBreak/>
        <w:t>④疏通次管的单项报价得分=（单项评标基准价/单项总价）×报价权值2%×100</w:t>
      </w:r>
    </w:p>
    <w:p w:rsidR="004308C9" w:rsidRDefault="004308C9" w:rsidP="004308C9">
      <w:pPr>
        <w:spacing w:line="360" w:lineRule="auto"/>
        <w:ind w:firstLineChars="200" w:firstLine="480"/>
        <w:rPr>
          <w:rFonts w:ascii="宋体" w:eastAsia="宋体" w:hAnsi="宋体" w:cs="宋体"/>
          <w:sz w:val="24"/>
        </w:rPr>
      </w:pPr>
      <w:r>
        <w:rPr>
          <w:rFonts w:ascii="宋体" w:eastAsia="宋体" w:hAnsi="宋体" w:cs="宋体" w:hint="eastAsia"/>
          <w:sz w:val="24"/>
          <w:szCs w:val="24"/>
        </w:rPr>
        <w:t>（2）各供应商的询价报价得分为四个单项报价得分之和。</w:t>
      </w:r>
    </w:p>
    <w:p w:rsidR="004308C9" w:rsidRDefault="004308C9" w:rsidP="004308C9">
      <w:pPr>
        <w:ind w:firstLineChars="200" w:firstLine="480"/>
        <w:rPr>
          <w:rFonts w:ascii="宋体" w:eastAsia="宋体" w:hAnsi="宋体" w:cs="宋体"/>
          <w:sz w:val="24"/>
        </w:rPr>
      </w:pPr>
      <w:r>
        <w:rPr>
          <w:rFonts w:ascii="宋体" w:eastAsia="宋体" w:hAnsi="宋体" w:cs="宋体" w:hint="eastAsia"/>
          <w:sz w:val="24"/>
          <w:szCs w:val="24"/>
        </w:rPr>
        <w:t>（3）最终得分计算保留小数点后两位。</w:t>
      </w:r>
    </w:p>
    <w:p w:rsidR="004308C9" w:rsidRDefault="004308C9" w:rsidP="004308C9">
      <w:pPr>
        <w:rPr>
          <w:rFonts w:ascii="宋体" w:eastAsia="宋体" w:hAnsi="宋体" w:cs="宋体"/>
          <w:sz w:val="24"/>
        </w:rPr>
      </w:pPr>
    </w:p>
    <w:p w:rsidR="004308C9" w:rsidRDefault="004308C9" w:rsidP="004308C9">
      <w:pPr>
        <w:rPr>
          <w:rFonts w:ascii="宋体" w:eastAsia="宋体" w:hAnsi="宋体" w:cs="宋体"/>
          <w:sz w:val="24"/>
        </w:rPr>
      </w:pPr>
    </w:p>
    <w:p w:rsidR="004308C9" w:rsidRDefault="004308C9" w:rsidP="004308C9">
      <w:pPr>
        <w:ind w:firstLineChars="1300" w:firstLine="3640"/>
        <w:rPr>
          <w:rFonts w:ascii="宋体" w:eastAsia="宋体" w:hAnsi="宋体" w:cs="宋体"/>
          <w:sz w:val="28"/>
          <w:szCs w:val="28"/>
        </w:rPr>
      </w:pPr>
      <w:r>
        <w:rPr>
          <w:rFonts w:ascii="宋体" w:eastAsia="宋体" w:hAnsi="宋体" w:cs="宋体" w:hint="eastAsia"/>
          <w:sz w:val="28"/>
          <w:szCs w:val="28"/>
        </w:rPr>
        <w:t xml:space="preserve">报价单位： </w:t>
      </w:r>
    </w:p>
    <w:p w:rsidR="004308C9" w:rsidRDefault="004308C9" w:rsidP="004308C9">
      <w:pPr>
        <w:rPr>
          <w:rFonts w:ascii="宋体" w:eastAsia="宋体" w:hAnsi="宋体" w:cs="宋体"/>
          <w:sz w:val="28"/>
          <w:szCs w:val="28"/>
        </w:rPr>
      </w:pPr>
      <w:r>
        <w:rPr>
          <w:rFonts w:ascii="宋体" w:eastAsia="宋体" w:hAnsi="宋体" w:cs="宋体" w:hint="eastAsia"/>
          <w:sz w:val="28"/>
          <w:szCs w:val="28"/>
        </w:rPr>
        <w:t xml:space="preserve">                          日期：</w:t>
      </w:r>
    </w:p>
    <w:p w:rsidR="004358AB" w:rsidRDefault="004358AB" w:rsidP="00D31D50">
      <w:pPr>
        <w:spacing w:line="220" w:lineRule="atLeast"/>
      </w:pPr>
    </w:p>
    <w:sectPr w:rsidR="004358AB" w:rsidSect="00B93E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1AF" w:rsidRDefault="009D61AF" w:rsidP="004308C9">
      <w:pPr>
        <w:spacing w:after="0"/>
      </w:pPr>
      <w:r>
        <w:separator/>
      </w:r>
    </w:p>
  </w:endnote>
  <w:endnote w:type="continuationSeparator" w:id="0">
    <w:p w:rsidR="009D61AF" w:rsidRDefault="009D61AF" w:rsidP="004308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1AF" w:rsidRDefault="009D61AF" w:rsidP="004308C9">
      <w:pPr>
        <w:spacing w:after="0"/>
      </w:pPr>
      <w:r>
        <w:separator/>
      </w:r>
    </w:p>
  </w:footnote>
  <w:footnote w:type="continuationSeparator" w:id="0">
    <w:p w:rsidR="009D61AF" w:rsidRDefault="009D61AF" w:rsidP="004308C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E0EE5"/>
    <w:multiLevelType w:val="multilevel"/>
    <w:tmpl w:val="5C7E0EE5"/>
    <w:lvl w:ilvl="0">
      <w:start w:val="1"/>
      <w:numFmt w:val="chineseCountingThousand"/>
      <w:suff w:val="nothing"/>
      <w:lvlText w:val="第%1章 "/>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decimal"/>
      <w:suff w:val="nothing"/>
      <w:lvlText w:val="%2.%3 "/>
      <w:lvlJc w:val="left"/>
      <w:pPr>
        <w:ind w:left="0" w:firstLine="0"/>
      </w:pPr>
      <w:rPr>
        <w:rFonts w:hint="eastAsia"/>
      </w:rPr>
    </w:lvl>
    <w:lvl w:ilvl="3">
      <w:start w:val="1"/>
      <w:numFmt w:val="decimal"/>
      <w:suff w:val="nothing"/>
      <w:lvlText w:val="%2.%3.%4 "/>
      <w:lvlJc w:val="left"/>
      <w:pPr>
        <w:ind w:left="0" w:firstLine="0"/>
      </w:pPr>
      <w:rPr>
        <w:rFonts w:hint="eastAsia"/>
      </w:rPr>
    </w:lvl>
    <w:lvl w:ilvl="4">
      <w:start w:val="1"/>
      <w:numFmt w:val="decimal"/>
      <w:suff w:val="nothing"/>
      <w:lvlText w:val="%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80216"/>
    <w:rsid w:val="003D37D8"/>
    <w:rsid w:val="00426133"/>
    <w:rsid w:val="004308C9"/>
    <w:rsid w:val="004358AB"/>
    <w:rsid w:val="008B7726"/>
    <w:rsid w:val="009D61AF"/>
    <w:rsid w:val="00D31D50"/>
    <w:rsid w:val="00D865B0"/>
    <w:rsid w:val="00DD09DA"/>
    <w:rsid w:val="00F979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7">
    <w:name w:val="heading 7"/>
    <w:basedOn w:val="a"/>
    <w:next w:val="a"/>
    <w:link w:val="7Char"/>
    <w:qFormat/>
    <w:rsid w:val="004308C9"/>
    <w:pPr>
      <w:keepNext/>
      <w:keepLines/>
      <w:widowControl w:val="0"/>
      <w:numPr>
        <w:ilvl w:val="6"/>
        <w:numId w:val="1"/>
      </w:numPr>
      <w:adjustRightInd/>
      <w:snapToGrid/>
      <w:spacing w:before="240" w:after="64" w:line="320" w:lineRule="auto"/>
      <w:jc w:val="both"/>
      <w:outlineLvl w:val="6"/>
    </w:pPr>
    <w:rPr>
      <w:rFonts w:asciiTheme="minorHAnsi" w:eastAsiaTheme="minorEastAsia" w:hAnsiTheme="minorHAnsi"/>
      <w:b/>
      <w:bC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308C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308C9"/>
    <w:rPr>
      <w:rFonts w:ascii="Tahoma" w:hAnsi="Tahoma"/>
      <w:sz w:val="18"/>
      <w:szCs w:val="18"/>
    </w:rPr>
  </w:style>
  <w:style w:type="paragraph" w:styleId="a4">
    <w:name w:val="footer"/>
    <w:basedOn w:val="a"/>
    <w:link w:val="Char0"/>
    <w:uiPriority w:val="99"/>
    <w:semiHidden/>
    <w:unhideWhenUsed/>
    <w:rsid w:val="004308C9"/>
    <w:pPr>
      <w:tabs>
        <w:tab w:val="center" w:pos="4153"/>
        <w:tab w:val="right" w:pos="8306"/>
      </w:tabs>
    </w:pPr>
    <w:rPr>
      <w:sz w:val="18"/>
      <w:szCs w:val="18"/>
    </w:rPr>
  </w:style>
  <w:style w:type="character" w:customStyle="1" w:styleId="Char0">
    <w:name w:val="页脚 Char"/>
    <w:basedOn w:val="a0"/>
    <w:link w:val="a4"/>
    <w:uiPriority w:val="99"/>
    <w:semiHidden/>
    <w:rsid w:val="004308C9"/>
    <w:rPr>
      <w:rFonts w:ascii="Tahoma" w:hAnsi="Tahoma"/>
      <w:sz w:val="18"/>
      <w:szCs w:val="18"/>
    </w:rPr>
  </w:style>
  <w:style w:type="character" w:customStyle="1" w:styleId="7Char">
    <w:name w:val="标题 7 Char"/>
    <w:basedOn w:val="a0"/>
    <w:link w:val="7"/>
    <w:rsid w:val="004308C9"/>
    <w:rPr>
      <w:rFonts w:eastAsiaTheme="minorEastAsia"/>
      <w:b/>
      <w:bCs/>
      <w:kern w:val="2"/>
      <w:sz w:val="24"/>
      <w:szCs w:val="24"/>
    </w:rPr>
  </w:style>
  <w:style w:type="paragraph" w:styleId="a5">
    <w:name w:val="Body Text Indent"/>
    <w:basedOn w:val="a"/>
    <w:link w:val="Char1"/>
    <w:uiPriority w:val="99"/>
    <w:semiHidden/>
    <w:unhideWhenUsed/>
    <w:rsid w:val="004308C9"/>
    <w:pPr>
      <w:spacing w:after="120"/>
      <w:ind w:leftChars="200" w:left="420"/>
    </w:pPr>
  </w:style>
  <w:style w:type="character" w:customStyle="1" w:styleId="Char1">
    <w:name w:val="正文文本缩进 Char"/>
    <w:basedOn w:val="a0"/>
    <w:link w:val="a5"/>
    <w:uiPriority w:val="99"/>
    <w:semiHidden/>
    <w:rsid w:val="004308C9"/>
    <w:rPr>
      <w:rFonts w:ascii="Tahoma" w:hAnsi="Tahoma"/>
    </w:rPr>
  </w:style>
  <w:style w:type="paragraph" w:styleId="2">
    <w:name w:val="Body Text First Indent 2"/>
    <w:basedOn w:val="a5"/>
    <w:link w:val="2Char"/>
    <w:qFormat/>
    <w:rsid w:val="004308C9"/>
    <w:pPr>
      <w:widowControl w:val="0"/>
      <w:adjustRightInd/>
      <w:snapToGrid/>
      <w:spacing w:after="0" w:line="360" w:lineRule="auto"/>
      <w:ind w:leftChars="0" w:left="0" w:firstLineChars="200" w:firstLine="420"/>
      <w:jc w:val="both"/>
    </w:pPr>
    <w:rPr>
      <w:rFonts w:ascii="宋体" w:eastAsia="宋体" w:hAnsi="宋体"/>
      <w:kern w:val="2"/>
      <w:sz w:val="21"/>
      <w:szCs w:val="20"/>
    </w:rPr>
  </w:style>
  <w:style w:type="character" w:customStyle="1" w:styleId="2Char">
    <w:name w:val="正文首行缩进 2 Char"/>
    <w:basedOn w:val="Char1"/>
    <w:link w:val="2"/>
    <w:rsid w:val="004308C9"/>
    <w:rPr>
      <w:rFonts w:ascii="宋体" w:eastAsia="宋体" w:hAnsi="宋体"/>
      <w:kern w:val="2"/>
      <w:sz w:val="21"/>
      <w:szCs w:val="20"/>
    </w:rPr>
  </w:style>
  <w:style w:type="table" w:styleId="a6">
    <w:name w:val="Table Grid"/>
    <w:basedOn w:val="a1"/>
    <w:qFormat/>
    <w:rsid w:val="004308C9"/>
    <w:pPr>
      <w:widowControl w:val="0"/>
      <w:spacing w:after="0" w:line="240" w:lineRule="auto"/>
      <w:jc w:val="both"/>
    </w:pPr>
    <w:rPr>
      <w:rFonts w:ascii="Times New Roman" w:eastAsia="宋体"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吴颖</cp:lastModifiedBy>
  <cp:revision>3</cp:revision>
  <dcterms:created xsi:type="dcterms:W3CDTF">2008-09-11T17:20:00Z</dcterms:created>
  <dcterms:modified xsi:type="dcterms:W3CDTF">2020-12-23T06:55:00Z</dcterms:modified>
</cp:coreProperties>
</file>