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360" w:lineRule="auto"/>
        <w:jc w:val="center"/>
        <w:rPr>
          <w:rFonts w:ascii="宋体" w:hAnsi="宋体" w:eastAsia="宋体" w:cs="宋体"/>
          <w:b/>
          <w:sz w:val="24"/>
          <w:szCs w:val="24"/>
        </w:rPr>
      </w:pPr>
    </w:p>
    <w:p>
      <w:pPr>
        <w:tabs>
          <w:tab w:val="left" w:pos="6300"/>
        </w:tabs>
        <w:snapToGrid w:val="0"/>
        <w:spacing w:line="360" w:lineRule="auto"/>
        <w:jc w:val="center"/>
        <w:rPr>
          <w:rFonts w:ascii="宋体" w:hAnsi="宋体" w:eastAsia="宋体" w:cs="宋体"/>
          <w:b/>
          <w:sz w:val="36"/>
          <w:szCs w:val="36"/>
        </w:rPr>
      </w:pPr>
    </w:p>
    <w:p>
      <w:pPr>
        <w:tabs>
          <w:tab w:val="left" w:pos="6300"/>
        </w:tabs>
        <w:snapToGrid w:val="0"/>
        <w:spacing w:line="360" w:lineRule="auto"/>
        <w:jc w:val="center"/>
        <w:rPr>
          <w:rFonts w:ascii="宋体" w:hAnsi="宋体" w:eastAsia="宋体" w:cs="宋体"/>
          <w:b/>
          <w:sz w:val="48"/>
          <w:szCs w:val="48"/>
        </w:rPr>
      </w:pPr>
      <w:r>
        <w:rPr>
          <w:rFonts w:hint="eastAsia" w:ascii="宋体" w:hAnsi="宋体" w:eastAsia="宋体" w:cs="宋体"/>
          <w:b/>
          <w:sz w:val="48"/>
          <w:szCs w:val="48"/>
        </w:rPr>
        <w:t>南通农副产品物流中心电梯日常维护保养</w:t>
      </w:r>
    </w:p>
    <w:p>
      <w:pPr>
        <w:tabs>
          <w:tab w:val="left" w:pos="6300"/>
        </w:tabs>
        <w:snapToGrid w:val="0"/>
        <w:spacing w:line="360" w:lineRule="auto"/>
        <w:jc w:val="center"/>
        <w:rPr>
          <w:rFonts w:ascii="宋体" w:hAnsi="宋体" w:eastAsia="宋体" w:cs="宋体"/>
          <w:b/>
          <w:sz w:val="48"/>
          <w:szCs w:val="48"/>
        </w:rPr>
      </w:pPr>
      <w:r>
        <w:rPr>
          <w:rFonts w:hint="eastAsia" w:ascii="宋体" w:hAnsi="宋体" w:eastAsia="宋体" w:cs="宋体"/>
          <w:b/>
          <w:sz w:val="48"/>
          <w:szCs w:val="48"/>
        </w:rPr>
        <w:t>服务项目</w:t>
      </w:r>
    </w:p>
    <w:p>
      <w:pPr>
        <w:pStyle w:val="2"/>
        <w:ind w:firstLine="964"/>
        <w:rPr>
          <w:rFonts w:cs="宋体"/>
          <w:b/>
          <w:sz w:val="48"/>
          <w:szCs w:val="48"/>
        </w:rPr>
      </w:pPr>
    </w:p>
    <w:p>
      <w:pPr>
        <w:pStyle w:val="5"/>
      </w:pPr>
    </w:p>
    <w:p>
      <w:pPr>
        <w:spacing w:line="360" w:lineRule="auto"/>
        <w:jc w:val="center"/>
        <w:rPr>
          <w:rFonts w:ascii="宋体" w:hAnsi="宋体" w:eastAsia="宋体" w:cs="宋体"/>
          <w:b/>
          <w:sz w:val="72"/>
          <w:szCs w:val="72"/>
        </w:rPr>
      </w:pPr>
      <w:r>
        <w:rPr>
          <w:rFonts w:hint="eastAsia" w:ascii="宋体" w:hAnsi="宋体" w:eastAsia="宋体" w:cs="宋体"/>
          <w:b/>
          <w:sz w:val="72"/>
          <w:szCs w:val="72"/>
        </w:rPr>
        <w:t>招标文件</w:t>
      </w:r>
    </w:p>
    <w:p>
      <w:pPr>
        <w:spacing w:line="360" w:lineRule="auto"/>
        <w:jc w:val="center"/>
        <w:rPr>
          <w:rFonts w:ascii="宋体" w:hAnsi="宋体" w:eastAsia="宋体"/>
          <w:b/>
          <w:sz w:val="44"/>
          <w:szCs w:val="44"/>
        </w:rPr>
      </w:pPr>
      <w:r>
        <w:rPr>
          <w:rFonts w:hint="eastAsia" w:ascii="宋体" w:hAnsi="宋体" w:eastAsia="宋体"/>
          <w:b/>
          <w:sz w:val="44"/>
          <w:szCs w:val="44"/>
        </w:rPr>
        <w:t>（资格后审）</w:t>
      </w: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pStyle w:val="5"/>
        <w:ind w:firstLine="0" w:firstLineChars="0"/>
      </w:pPr>
    </w:p>
    <w:p>
      <w:pPr>
        <w:pStyle w:val="2"/>
      </w:pPr>
    </w:p>
    <w:p>
      <w:pPr>
        <w:snapToGrid w:val="0"/>
        <w:spacing w:line="360" w:lineRule="auto"/>
        <w:rPr>
          <w:rFonts w:ascii="宋体" w:hAnsi="宋体" w:eastAsia="宋体" w:cs="宋体"/>
          <w:b/>
          <w:sz w:val="32"/>
          <w:szCs w:val="32"/>
        </w:rPr>
      </w:pPr>
    </w:p>
    <w:p>
      <w:pPr>
        <w:adjustRightInd w:val="0"/>
        <w:snapToGrid w:val="0"/>
        <w:spacing w:line="360" w:lineRule="auto"/>
        <w:rPr>
          <w:rFonts w:ascii="宋体" w:hAnsi="宋体" w:eastAsia="宋体" w:cs="宋体"/>
          <w:b/>
          <w:sz w:val="32"/>
          <w:szCs w:val="32"/>
        </w:rPr>
      </w:pPr>
      <w:r>
        <w:rPr>
          <w:rFonts w:hint="eastAsia" w:ascii="宋体" w:hAnsi="宋体" w:eastAsia="宋体" w:cs="宋体"/>
          <w:b/>
          <w:sz w:val="32"/>
          <w:szCs w:val="32"/>
        </w:rPr>
        <w:t xml:space="preserve">          采购人：南通农副产品物流有限公司   </w:t>
      </w:r>
    </w:p>
    <w:p>
      <w:pPr>
        <w:adjustRightInd w:val="0"/>
        <w:snapToGrid w:val="0"/>
        <w:spacing w:line="360" w:lineRule="auto"/>
        <w:rPr>
          <w:rFonts w:ascii="宋体" w:hAnsi="宋体" w:eastAsia="宋体" w:cs="宋体"/>
          <w:b/>
          <w:sz w:val="32"/>
          <w:szCs w:val="32"/>
        </w:rPr>
      </w:pPr>
      <w:r>
        <w:rPr>
          <w:rFonts w:hint="eastAsia" w:ascii="宋体" w:hAnsi="宋体" w:eastAsia="宋体" w:cs="宋体"/>
          <w:b/>
          <w:sz w:val="32"/>
          <w:szCs w:val="32"/>
        </w:rPr>
        <w:t xml:space="preserve">          代理机构：南通城建工程项目管理有限公司</w:t>
      </w:r>
    </w:p>
    <w:p>
      <w:pPr>
        <w:adjustRightInd w:val="0"/>
        <w:snapToGrid w:val="0"/>
        <w:spacing w:line="360" w:lineRule="auto"/>
        <w:rPr>
          <w:rFonts w:ascii="宋体" w:hAnsi="宋体" w:eastAsia="宋体" w:cs="宋体"/>
          <w:b/>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113" w:bottom="1134" w:left="1255" w:header="851" w:footer="992" w:gutter="0"/>
          <w:cols w:space="720" w:num="1"/>
          <w:titlePg/>
          <w:docGrid w:linePitch="380" w:charSpace="-5735"/>
        </w:sectPr>
      </w:pPr>
      <w:r>
        <w:rPr>
          <w:rFonts w:hint="eastAsia" w:ascii="宋体" w:hAnsi="宋体" w:eastAsia="宋体" w:cs="宋体"/>
          <w:b/>
          <w:sz w:val="32"/>
          <w:szCs w:val="32"/>
        </w:rPr>
        <w:t xml:space="preserve">                   二〇二二年十二月</w:t>
      </w:r>
    </w:p>
    <w:p>
      <w:pPr>
        <w:jc w:val="center"/>
        <w:rPr>
          <w:rFonts w:ascii="宋体" w:hAnsi="宋体" w:eastAsia="宋体" w:cs="宋体"/>
          <w:b/>
          <w:sz w:val="44"/>
          <w:szCs w:val="44"/>
        </w:rPr>
      </w:pPr>
      <w:r>
        <w:rPr>
          <w:rFonts w:hint="eastAsia" w:ascii="宋体" w:hAnsi="宋体" w:eastAsia="宋体" w:cs="宋体"/>
          <w:b/>
          <w:sz w:val="44"/>
          <w:szCs w:val="44"/>
        </w:rPr>
        <w:t>招标文件备案表</w:t>
      </w:r>
    </w:p>
    <w:p>
      <w:pPr>
        <w:jc w:val="center"/>
        <w:rPr>
          <w:rFonts w:ascii="宋体" w:hAnsi="宋体" w:eastAsia="宋体" w:cs="宋体"/>
          <w:b/>
          <w:sz w:val="44"/>
          <w:szCs w:val="44"/>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7" w:hRule="atLeast"/>
          <w:jc w:val="center"/>
        </w:trPr>
        <w:tc>
          <w:tcPr>
            <w:tcW w:w="9180" w:type="dxa"/>
            <w:vAlign w:val="center"/>
          </w:tcPr>
          <w:p>
            <w:pPr>
              <w:spacing w:line="360" w:lineRule="auto"/>
              <w:ind w:firstLine="3000" w:firstLineChars="1200"/>
              <w:rPr>
                <w:rFonts w:ascii="宋体" w:hAnsi="宋体" w:eastAsia="宋体" w:cs="宋体"/>
                <w:position w:val="-48"/>
                <w:sz w:val="25"/>
              </w:rPr>
            </w:pPr>
            <w:r>
              <w:rPr>
                <w:rFonts w:hint="eastAsia" w:ascii="宋体" w:hAnsi="宋体" w:eastAsia="宋体" w:cs="宋体"/>
                <w:position w:val="-48"/>
                <w:sz w:val="25"/>
              </w:rPr>
              <w:t xml:space="preserve">编制人：   </w:t>
            </w:r>
          </w:p>
          <w:p>
            <w:pPr>
              <w:tabs>
                <w:tab w:val="left" w:pos="3492"/>
              </w:tabs>
              <w:spacing w:line="360" w:lineRule="auto"/>
              <w:ind w:firstLine="3000" w:firstLineChars="1200"/>
              <w:rPr>
                <w:rFonts w:ascii="宋体" w:hAnsi="宋体" w:eastAsia="宋体" w:cs="宋体"/>
                <w:position w:val="-48"/>
                <w:sz w:val="25"/>
              </w:rPr>
            </w:pPr>
            <w:r>
              <w:rPr>
                <w:rFonts w:hint="eastAsia" w:ascii="宋体" w:hAnsi="宋体" w:eastAsia="宋体" w:cs="宋体"/>
                <w:position w:val="-48"/>
                <w:sz w:val="25"/>
              </w:rPr>
              <w:t>日  期： 2022年12月20日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0" w:type="dxa"/>
          </w:tcPr>
          <w:p>
            <w:pPr>
              <w:spacing w:line="360" w:lineRule="auto"/>
              <w:rPr>
                <w:rFonts w:ascii="宋体" w:hAnsi="宋体" w:eastAsia="宋体" w:cs="宋体"/>
                <w:position w:val="-48"/>
                <w:sz w:val="25"/>
              </w:rPr>
            </w:pPr>
          </w:p>
          <w:p>
            <w:pPr>
              <w:spacing w:line="360" w:lineRule="auto"/>
              <w:ind w:firstLine="625" w:firstLineChars="250"/>
              <w:jc w:val="center"/>
              <w:rPr>
                <w:rFonts w:ascii="宋体" w:hAnsi="宋体" w:eastAsia="宋体" w:cs="宋体"/>
                <w:position w:val="-48"/>
                <w:sz w:val="25"/>
              </w:rPr>
            </w:pPr>
            <w:r>
              <w:rPr>
                <w:rFonts w:hint="eastAsia" w:ascii="宋体" w:hAnsi="宋体" w:eastAsia="宋体" w:cs="宋体"/>
                <w:position w:val="-48"/>
                <w:sz w:val="25"/>
              </w:rPr>
              <w:t>采购单位（盖章）             法定代表人（签字或盖章）</w:t>
            </w:r>
          </w:p>
          <w:p>
            <w:pPr>
              <w:spacing w:line="360" w:lineRule="auto"/>
              <w:rPr>
                <w:rFonts w:ascii="宋体" w:hAnsi="宋体" w:eastAsia="宋体" w:cs="宋体"/>
                <w:position w:val="-48"/>
                <w:sz w:val="25"/>
              </w:rPr>
            </w:pPr>
          </w:p>
          <w:p>
            <w:pPr>
              <w:spacing w:line="360" w:lineRule="auto"/>
              <w:rPr>
                <w:rFonts w:ascii="宋体" w:hAnsi="宋体" w:eastAsia="宋体" w:cs="宋体"/>
                <w:position w:val="-48"/>
                <w:sz w:val="25"/>
              </w:rPr>
            </w:pPr>
          </w:p>
          <w:p>
            <w:pPr>
              <w:spacing w:line="360" w:lineRule="auto"/>
              <w:ind w:firstLine="2750" w:firstLineChars="1100"/>
              <w:rPr>
                <w:rFonts w:ascii="宋体" w:hAnsi="宋体" w:eastAsia="宋体" w:cs="宋体"/>
                <w:position w:val="-48"/>
                <w:sz w:val="25"/>
              </w:rPr>
            </w:pPr>
            <w:r>
              <w:rPr>
                <w:rFonts w:hint="eastAsia" w:ascii="宋体" w:hAnsi="宋体" w:eastAsia="宋体" w:cs="宋体"/>
                <w:position w:val="-48"/>
                <w:sz w:val="25"/>
              </w:rPr>
              <w:t>日  期：2022年12月20日</w:t>
            </w:r>
          </w:p>
          <w:p>
            <w:pPr>
              <w:spacing w:line="360" w:lineRule="auto"/>
              <w:ind w:firstLine="2750" w:firstLineChars="1100"/>
              <w:rPr>
                <w:rFonts w:ascii="宋体" w:hAnsi="宋体" w:eastAsia="宋体" w:cs="宋体"/>
                <w:position w:val="-48"/>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9180" w:type="dxa"/>
            <w:vAlign w:val="center"/>
          </w:tcPr>
          <w:p>
            <w:pPr>
              <w:spacing w:line="360" w:lineRule="auto"/>
              <w:jc w:val="center"/>
              <w:rPr>
                <w:rFonts w:ascii="宋体" w:hAnsi="宋体" w:eastAsia="宋体" w:cs="宋体"/>
                <w:position w:val="-48"/>
                <w:sz w:val="25"/>
              </w:rPr>
            </w:pPr>
          </w:p>
          <w:p>
            <w:pPr>
              <w:spacing w:line="360" w:lineRule="auto"/>
              <w:jc w:val="center"/>
              <w:rPr>
                <w:rFonts w:ascii="宋体" w:hAnsi="宋体" w:eastAsia="宋体" w:cs="宋体"/>
                <w:position w:val="-48"/>
                <w:sz w:val="25"/>
              </w:rPr>
            </w:pPr>
            <w:r>
              <w:rPr>
                <w:rFonts w:hint="eastAsia" w:ascii="宋体" w:hAnsi="宋体" w:eastAsia="宋体" w:cs="宋体"/>
                <w:position w:val="-48"/>
                <w:sz w:val="25"/>
              </w:rPr>
              <w:t>代理机构（盖章）            法定代表人（签字或盖章）</w:t>
            </w:r>
          </w:p>
          <w:p>
            <w:pPr>
              <w:spacing w:line="360" w:lineRule="auto"/>
              <w:jc w:val="center"/>
              <w:rPr>
                <w:rFonts w:ascii="宋体" w:hAnsi="宋体" w:eastAsia="宋体" w:cs="宋体"/>
                <w:position w:val="-48"/>
                <w:sz w:val="25"/>
              </w:rPr>
            </w:pPr>
          </w:p>
          <w:p>
            <w:pPr>
              <w:widowControl/>
              <w:jc w:val="left"/>
              <w:rPr>
                <w:rFonts w:ascii="宋体" w:hAnsi="宋体" w:eastAsia="宋体"/>
                <w:kern w:val="0"/>
                <w:sz w:val="22"/>
                <w:szCs w:val="22"/>
              </w:rPr>
            </w:pPr>
          </w:p>
          <w:p>
            <w:pPr>
              <w:widowControl/>
              <w:jc w:val="left"/>
              <w:rPr>
                <w:rFonts w:ascii="宋体" w:hAnsi="宋体" w:eastAsia="宋体"/>
                <w:kern w:val="0"/>
                <w:sz w:val="22"/>
                <w:szCs w:val="22"/>
              </w:rPr>
            </w:pPr>
          </w:p>
          <w:p>
            <w:pPr>
              <w:spacing w:line="360" w:lineRule="auto"/>
              <w:ind w:firstLine="2875" w:firstLineChars="1150"/>
              <w:rPr>
                <w:rFonts w:ascii="宋体" w:hAnsi="宋体" w:eastAsia="宋体" w:cs="宋体"/>
                <w:position w:val="-48"/>
                <w:sz w:val="25"/>
              </w:rPr>
            </w:pPr>
            <w:r>
              <w:rPr>
                <w:rFonts w:hint="eastAsia" w:ascii="宋体" w:hAnsi="宋体" w:eastAsia="宋体" w:cs="宋体"/>
                <w:position w:val="-48"/>
                <w:sz w:val="25"/>
              </w:rPr>
              <w:t>日  期：2022年12月20日</w:t>
            </w:r>
          </w:p>
          <w:p>
            <w:pPr>
              <w:widowControl/>
              <w:jc w:val="left"/>
              <w:rPr>
                <w:rFonts w:ascii="宋体" w:hAnsi="宋体" w:eastAsia="宋体"/>
                <w:kern w:val="0"/>
                <w:sz w:val="22"/>
                <w:szCs w:val="22"/>
              </w:rPr>
            </w:pPr>
          </w:p>
          <w:p>
            <w:pPr>
              <w:widowControl/>
              <w:jc w:val="left"/>
              <w:rPr>
                <w:rFonts w:ascii="宋体" w:hAnsi="宋体" w:eastAsia="宋体"/>
                <w:kern w:val="0"/>
                <w:sz w:val="22"/>
                <w:szCs w:val="22"/>
              </w:rPr>
            </w:pPr>
          </w:p>
        </w:tc>
      </w:tr>
    </w:tbl>
    <w:p>
      <w:pPr>
        <w:widowControl/>
        <w:jc w:val="center"/>
        <w:outlineLvl w:val="0"/>
        <w:rPr>
          <w:rFonts w:ascii="宋体" w:hAnsi="宋体" w:eastAsia="宋体" w:cs="宋体"/>
          <w:w w:val="80"/>
          <w:sz w:val="44"/>
          <w:szCs w:val="44"/>
        </w:rPr>
      </w:pPr>
    </w:p>
    <w:p>
      <w:pPr>
        <w:pStyle w:val="11"/>
        <w:overflowPunct w:val="0"/>
        <w:spacing w:line="360" w:lineRule="auto"/>
        <w:ind w:firstLine="0"/>
        <w:jc w:val="center"/>
        <w:rPr>
          <w:rFonts w:ascii="宋体" w:hAnsi="宋体" w:eastAsia="宋体" w:cs="宋体"/>
          <w:b/>
          <w:sz w:val="44"/>
          <w:szCs w:val="44"/>
        </w:rPr>
      </w:pPr>
      <w:r>
        <w:rPr>
          <w:rFonts w:hint="eastAsia" w:ascii="宋体" w:hAnsi="宋体" w:eastAsia="宋体" w:cs="宋体"/>
          <w:b/>
          <w:sz w:val="44"/>
          <w:szCs w:val="44"/>
        </w:rPr>
        <w:t>目  录</w:t>
      </w:r>
    </w:p>
    <w:p>
      <w:pPr>
        <w:tabs>
          <w:tab w:val="left" w:pos="1050"/>
          <w:tab w:val="right" w:leader="dot" w:pos="9402"/>
        </w:tabs>
        <w:spacing w:line="480" w:lineRule="auto"/>
        <w:jc w:val="left"/>
        <w:outlineLvl w:val="0"/>
        <w:rPr>
          <w:rFonts w:ascii="宋体" w:hAnsi="宋体" w:eastAsia="宋体" w:cs="宋体"/>
          <w:sz w:val="28"/>
          <w:szCs w:val="28"/>
        </w:rPr>
      </w:pPr>
      <w:r>
        <w:rPr>
          <w:rFonts w:hint="eastAsia" w:ascii="宋体" w:hAnsi="宋体" w:eastAsia="宋体" w:cs="宋体"/>
          <w:sz w:val="28"/>
          <w:szCs w:val="28"/>
        </w:rPr>
        <w:t>第一部分  招标公告</w:t>
      </w:r>
    </w:p>
    <w:p>
      <w:pPr>
        <w:tabs>
          <w:tab w:val="left" w:pos="1050"/>
          <w:tab w:val="right" w:leader="dot" w:pos="9402"/>
        </w:tabs>
        <w:spacing w:line="480" w:lineRule="auto"/>
        <w:jc w:val="left"/>
        <w:outlineLvl w:val="0"/>
        <w:rPr>
          <w:rFonts w:ascii="宋体" w:hAnsi="宋体" w:eastAsia="宋体" w:cs="宋体"/>
          <w:kern w:val="44"/>
          <w:sz w:val="28"/>
          <w:szCs w:val="28"/>
        </w:rPr>
      </w:pPr>
      <w:r>
        <w:rPr>
          <w:rFonts w:hint="eastAsia" w:ascii="宋体" w:hAnsi="宋体" w:eastAsia="宋体" w:cs="宋体"/>
          <w:kern w:val="44"/>
          <w:sz w:val="28"/>
          <w:szCs w:val="28"/>
        </w:rPr>
        <w:t>第二部分  投标人须知</w:t>
      </w:r>
    </w:p>
    <w:p>
      <w:pPr>
        <w:snapToGrid w:val="0"/>
        <w:spacing w:line="480" w:lineRule="auto"/>
        <w:jc w:val="left"/>
        <w:rPr>
          <w:rFonts w:ascii="宋体" w:hAnsi="宋体" w:eastAsia="宋体" w:cs="宋体"/>
          <w:sz w:val="28"/>
          <w:szCs w:val="28"/>
        </w:rPr>
      </w:pPr>
      <w:r>
        <w:rPr>
          <w:rFonts w:hint="eastAsia" w:ascii="宋体" w:hAnsi="宋体" w:eastAsia="宋体" w:cs="宋体"/>
          <w:sz w:val="28"/>
          <w:szCs w:val="28"/>
        </w:rPr>
        <w:t>第三部分  项目需求</w:t>
      </w:r>
    </w:p>
    <w:p>
      <w:pPr>
        <w:tabs>
          <w:tab w:val="left" w:pos="1050"/>
          <w:tab w:val="right" w:leader="dot" w:pos="9402"/>
        </w:tabs>
        <w:spacing w:line="480" w:lineRule="auto"/>
        <w:jc w:val="left"/>
        <w:outlineLvl w:val="0"/>
        <w:rPr>
          <w:rFonts w:ascii="宋体" w:hAnsi="宋体" w:eastAsia="宋体" w:cs="宋体"/>
          <w:sz w:val="28"/>
          <w:szCs w:val="28"/>
        </w:rPr>
      </w:pPr>
      <w:r>
        <w:rPr>
          <w:rFonts w:hint="eastAsia" w:ascii="宋体" w:hAnsi="宋体" w:eastAsia="宋体" w:cs="宋体"/>
          <w:sz w:val="28"/>
          <w:szCs w:val="28"/>
        </w:rPr>
        <w:t>第四部分  评审方法和程序</w:t>
      </w:r>
    </w:p>
    <w:p>
      <w:pPr>
        <w:pStyle w:val="11"/>
        <w:overflowPunct w:val="0"/>
        <w:spacing w:line="480" w:lineRule="auto"/>
        <w:ind w:firstLine="0"/>
        <w:rPr>
          <w:rFonts w:ascii="宋体" w:hAnsi="宋体" w:eastAsia="宋体" w:cs="宋体"/>
          <w:sz w:val="28"/>
          <w:szCs w:val="28"/>
        </w:rPr>
      </w:pPr>
      <w:r>
        <w:rPr>
          <w:rFonts w:hint="eastAsia" w:ascii="宋体" w:hAnsi="宋体" w:eastAsia="宋体" w:cs="宋体"/>
          <w:sz w:val="28"/>
          <w:szCs w:val="28"/>
        </w:rPr>
        <w:t>第五部分  合同主要条款</w:t>
      </w:r>
    </w:p>
    <w:p>
      <w:pPr>
        <w:adjustRightInd w:val="0"/>
        <w:snapToGrid w:val="0"/>
        <w:spacing w:line="480" w:lineRule="auto"/>
        <w:jc w:val="left"/>
        <w:textAlignment w:val="baseline"/>
        <w:outlineLvl w:val="0"/>
        <w:rPr>
          <w:rFonts w:ascii="宋体" w:hAnsi="宋体" w:eastAsia="宋体" w:cs="宋体"/>
          <w:kern w:val="44"/>
          <w:sz w:val="28"/>
          <w:szCs w:val="28"/>
        </w:rPr>
      </w:pPr>
      <w:r>
        <w:rPr>
          <w:rFonts w:hint="eastAsia" w:ascii="宋体" w:hAnsi="宋体" w:eastAsia="宋体" w:cs="宋体"/>
          <w:kern w:val="44"/>
          <w:sz w:val="28"/>
          <w:szCs w:val="28"/>
        </w:rPr>
        <w:t>第六部分  合同授予</w:t>
      </w:r>
    </w:p>
    <w:p>
      <w:pPr>
        <w:adjustRightInd w:val="0"/>
        <w:snapToGrid w:val="0"/>
        <w:spacing w:line="480" w:lineRule="auto"/>
        <w:jc w:val="left"/>
        <w:textAlignment w:val="baseline"/>
        <w:outlineLvl w:val="0"/>
        <w:rPr>
          <w:rFonts w:ascii="宋体" w:hAnsi="宋体" w:eastAsia="宋体" w:cs="宋体"/>
          <w:kern w:val="44"/>
          <w:sz w:val="28"/>
          <w:szCs w:val="28"/>
        </w:rPr>
      </w:pPr>
      <w:r>
        <w:rPr>
          <w:rFonts w:hint="eastAsia" w:ascii="宋体" w:hAnsi="宋体" w:eastAsia="宋体" w:cs="宋体"/>
          <w:kern w:val="44"/>
          <w:sz w:val="28"/>
          <w:szCs w:val="28"/>
        </w:rPr>
        <w:t>第七部分  质疑与投诉</w:t>
      </w:r>
    </w:p>
    <w:p>
      <w:pPr>
        <w:pStyle w:val="11"/>
        <w:overflowPunct w:val="0"/>
        <w:spacing w:line="480" w:lineRule="auto"/>
        <w:ind w:firstLine="0"/>
        <w:rPr>
          <w:rFonts w:ascii="宋体" w:hAnsi="宋体" w:eastAsia="宋体" w:cs="宋体"/>
          <w:sz w:val="28"/>
          <w:szCs w:val="28"/>
        </w:rPr>
      </w:pPr>
      <w:r>
        <w:rPr>
          <w:rFonts w:hint="eastAsia" w:ascii="宋体" w:hAnsi="宋体" w:eastAsia="宋体" w:cs="宋体"/>
          <w:kern w:val="44"/>
          <w:sz w:val="28"/>
          <w:szCs w:val="28"/>
        </w:rPr>
        <w:t>第八部分  投标文件组成及格式</w:t>
      </w:r>
    </w:p>
    <w:p>
      <w:pPr>
        <w:snapToGrid w:val="0"/>
        <w:spacing w:line="360" w:lineRule="auto"/>
        <w:rPr>
          <w:rFonts w:ascii="宋体" w:hAnsi="宋体" w:eastAsia="宋体" w:cs="宋体"/>
          <w:b/>
          <w:sz w:val="21"/>
          <w:szCs w:val="21"/>
        </w:rPr>
      </w:pPr>
      <w:r>
        <w:rPr>
          <w:rFonts w:hint="eastAsia" w:ascii="宋体" w:hAnsi="宋体" w:eastAsia="宋体" w:cs="宋体"/>
          <w:sz w:val="24"/>
          <w:szCs w:val="24"/>
        </w:rPr>
        <w:br w:type="page"/>
      </w:r>
      <w:r>
        <w:rPr>
          <w:rFonts w:hint="eastAsia" w:ascii="宋体" w:hAnsi="宋体" w:eastAsia="宋体" w:cs="宋体"/>
          <w:b/>
          <w:sz w:val="21"/>
          <w:szCs w:val="21"/>
        </w:rPr>
        <w:t>尊敬的投标供应商（以下称投标人）：</w:t>
      </w:r>
    </w:p>
    <w:p>
      <w:pPr>
        <w:snapToGrid w:val="0"/>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欢迎参加本采购项目的公开招标。为了保证本次招标顺利进行，请在制作投标响应文件（以下称投标文件）之前，仔细阅读本招标文件的各项条款，并按要求制作和递交投标文件。谢谢合作！</w:t>
      </w:r>
    </w:p>
    <w:p>
      <w:pPr>
        <w:tabs>
          <w:tab w:val="left" w:pos="1050"/>
          <w:tab w:val="right" w:leader="dot" w:pos="9402"/>
        </w:tabs>
        <w:spacing w:line="360" w:lineRule="auto"/>
        <w:jc w:val="center"/>
        <w:outlineLvl w:val="0"/>
        <w:rPr>
          <w:rFonts w:ascii="宋体" w:hAnsi="宋体" w:eastAsia="宋体" w:cs="宋体"/>
          <w:b/>
          <w:sz w:val="32"/>
          <w:szCs w:val="32"/>
        </w:rPr>
      </w:pPr>
      <w:bookmarkStart w:id="0" w:name="_Toc363573853"/>
      <w:r>
        <w:rPr>
          <w:rFonts w:hint="eastAsia" w:ascii="宋体" w:hAnsi="宋体" w:eastAsia="宋体" w:cs="宋体"/>
          <w:b/>
          <w:w w:val="80"/>
          <w:sz w:val="32"/>
          <w:szCs w:val="32"/>
        </w:rPr>
        <w:t xml:space="preserve">第一部分  </w:t>
      </w:r>
      <w:bookmarkEnd w:id="0"/>
      <w:bookmarkStart w:id="1" w:name="_Toc363573854"/>
      <w:r>
        <w:rPr>
          <w:rFonts w:hint="eastAsia" w:ascii="宋体" w:hAnsi="宋体" w:eastAsia="宋体" w:cs="宋体"/>
          <w:b/>
          <w:w w:val="80"/>
          <w:sz w:val="32"/>
          <w:szCs w:val="32"/>
        </w:rPr>
        <w:t>招标公告</w:t>
      </w:r>
    </w:p>
    <w:p>
      <w:pPr>
        <w:pBdr>
          <w:top w:val="single" w:color="auto" w:sz="4" w:space="1"/>
          <w:left w:val="single" w:color="auto" w:sz="4" w:space="4"/>
          <w:bottom w:val="single" w:color="auto" w:sz="4" w:space="10"/>
          <w:right w:val="single" w:color="auto" w:sz="4" w:space="0"/>
        </w:pBdr>
        <w:spacing w:line="520" w:lineRule="exact"/>
        <w:rPr>
          <w:rFonts w:ascii="宋体" w:hAnsi="宋体" w:eastAsia="宋体"/>
          <w:bCs/>
          <w:sz w:val="24"/>
          <w:szCs w:val="24"/>
        </w:rPr>
      </w:pPr>
      <w:bookmarkStart w:id="2" w:name="_Hlk67480463"/>
      <w:r>
        <w:rPr>
          <w:rFonts w:hint="eastAsia" w:ascii="宋体" w:hAnsi="宋体" w:eastAsia="宋体"/>
          <w:bCs/>
          <w:sz w:val="24"/>
          <w:szCs w:val="24"/>
        </w:rPr>
        <w:t>项目概况</w:t>
      </w:r>
    </w:p>
    <w:p>
      <w:pPr>
        <w:pBdr>
          <w:top w:val="single" w:color="auto" w:sz="4" w:space="1"/>
          <w:left w:val="single" w:color="auto" w:sz="4" w:space="4"/>
          <w:bottom w:val="single" w:color="auto" w:sz="4" w:space="10"/>
          <w:right w:val="single" w:color="auto" w:sz="4" w:space="0"/>
        </w:pBdr>
        <w:spacing w:line="520" w:lineRule="exact"/>
        <w:ind w:firstLine="480" w:firstLineChars="200"/>
        <w:rPr>
          <w:rFonts w:eastAsia="宋体"/>
          <w:bCs/>
          <w:sz w:val="24"/>
          <w:szCs w:val="24"/>
        </w:rPr>
      </w:pPr>
      <w:r>
        <w:rPr>
          <w:rFonts w:hint="eastAsia" w:ascii="宋体" w:hAnsi="宋体" w:eastAsia="宋体"/>
          <w:bCs/>
          <w:sz w:val="24"/>
          <w:szCs w:val="24"/>
          <w:u w:val="single"/>
        </w:rPr>
        <w:t>南通农副产品物流中心电梯日常维护保养服务项目</w:t>
      </w:r>
      <w:r>
        <w:rPr>
          <w:rFonts w:hint="eastAsia" w:ascii="宋体" w:hAnsi="宋体" w:eastAsia="宋体"/>
          <w:bCs/>
          <w:sz w:val="24"/>
          <w:szCs w:val="24"/>
        </w:rPr>
        <w:t>的潜在投标人应在</w:t>
      </w:r>
      <w:r>
        <w:rPr>
          <w:rFonts w:hint="eastAsia" w:ascii="宋体" w:hAnsi="宋体" w:eastAsia="宋体"/>
          <w:bCs/>
          <w:sz w:val="24"/>
          <w:szCs w:val="24"/>
          <w:u w:val="single"/>
        </w:rPr>
        <w:t>南通汽运实业集团有限公司 (http://www.ntqyjt.com.cn) 、南通农副产品物流有限公司（</w:t>
      </w:r>
      <w:r>
        <w:rPr>
          <w:rFonts w:ascii="宋体" w:hAnsi="宋体" w:eastAsia="宋体"/>
          <w:bCs/>
          <w:sz w:val="24"/>
          <w:szCs w:val="24"/>
          <w:u w:val="single"/>
        </w:rPr>
        <w:t>http://www.ntnfcp.com/</w:t>
      </w:r>
      <w:r>
        <w:rPr>
          <w:rFonts w:hint="eastAsia" w:ascii="宋体" w:hAnsi="宋体" w:eastAsia="宋体"/>
          <w:bCs/>
          <w:sz w:val="24"/>
          <w:szCs w:val="24"/>
          <w:u w:val="single"/>
        </w:rPr>
        <w:t>）</w:t>
      </w:r>
      <w:r>
        <w:rPr>
          <w:rFonts w:hint="eastAsia" w:ascii="宋体" w:hAnsi="宋体" w:eastAsia="宋体"/>
          <w:bCs/>
          <w:sz w:val="24"/>
          <w:szCs w:val="24"/>
        </w:rPr>
        <w:t>获取招标文件，并于</w:t>
      </w:r>
      <w:r>
        <w:rPr>
          <w:rFonts w:eastAsia="宋体"/>
          <w:bCs/>
          <w:sz w:val="24"/>
          <w:szCs w:val="24"/>
          <w:u w:val="single"/>
        </w:rPr>
        <w:t>202</w:t>
      </w:r>
      <w:r>
        <w:rPr>
          <w:rFonts w:hint="eastAsia" w:eastAsia="宋体"/>
          <w:bCs/>
          <w:sz w:val="24"/>
          <w:szCs w:val="24"/>
          <w:u w:val="single"/>
        </w:rPr>
        <w:t>3年1月10日9时30分</w:t>
      </w:r>
      <w:r>
        <w:rPr>
          <w:rFonts w:eastAsia="宋体"/>
          <w:bCs/>
          <w:sz w:val="24"/>
          <w:szCs w:val="24"/>
        </w:rPr>
        <w:t>（北京时间，下同）</w:t>
      </w:r>
      <w:r>
        <w:rPr>
          <w:rFonts w:hint="eastAsia" w:eastAsia="宋体"/>
          <w:bCs/>
          <w:sz w:val="24"/>
          <w:szCs w:val="24"/>
        </w:rPr>
        <w:t>前递交</w:t>
      </w:r>
      <w:r>
        <w:rPr>
          <w:rFonts w:eastAsia="宋体"/>
          <w:bCs/>
          <w:sz w:val="24"/>
          <w:szCs w:val="24"/>
        </w:rPr>
        <w:t>投标文件。</w:t>
      </w:r>
    </w:p>
    <w:bookmarkEnd w:id="2"/>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南通城建工程项目管理有限公司（以下称代理机构）受南通农副产品物流有限公司 （以下称采购人）的委托，就其</w:t>
      </w:r>
      <w:r>
        <w:rPr>
          <w:rFonts w:hint="eastAsia" w:ascii="宋体" w:hAnsi="宋体" w:eastAsia="宋体"/>
          <w:bCs/>
          <w:sz w:val="24"/>
          <w:szCs w:val="24"/>
          <w:u w:val="single"/>
        </w:rPr>
        <w:t>南通农副产品物流中心电梯日常维护保养服务项目</w:t>
      </w:r>
      <w:r>
        <w:rPr>
          <w:rFonts w:hint="eastAsia" w:ascii="宋体" w:hAnsi="宋体" w:eastAsia="宋体" w:cs="宋体"/>
          <w:sz w:val="24"/>
          <w:szCs w:val="24"/>
        </w:rPr>
        <w:t>组织公开招标，诚邀符合条件的潜在投标人参加投标。</w:t>
      </w:r>
    </w:p>
    <w:p>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一、基本情况</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（一）项目名称：南通农副产品物流中心电梯日常维护保养服务项目</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（二）预算金额：</w:t>
      </w:r>
      <w:r>
        <w:rPr>
          <w:rFonts w:ascii="宋体" w:hAnsi="宋体" w:eastAsia="宋体"/>
          <w:sz w:val="24"/>
          <w:szCs w:val="24"/>
        </w:rPr>
        <w:t>最高限价为人民币</w:t>
      </w:r>
      <w:r>
        <w:rPr>
          <w:rFonts w:hint="eastAsia" w:ascii="宋体" w:hAnsi="宋体" w:eastAsia="宋体" w:cs="宋体"/>
          <w:b/>
          <w:sz w:val="24"/>
          <w:szCs w:val="24"/>
        </w:rPr>
        <w:t>12.15万元/年，</w:t>
      </w:r>
      <w:r>
        <w:rPr>
          <w:rFonts w:ascii="宋体" w:hAnsi="宋体" w:eastAsia="宋体"/>
          <w:sz w:val="24"/>
          <w:szCs w:val="24"/>
        </w:rPr>
        <w:t>超过</w:t>
      </w:r>
      <w:r>
        <w:rPr>
          <w:rFonts w:hint="eastAsia" w:ascii="宋体" w:hAnsi="宋体" w:eastAsia="宋体"/>
          <w:sz w:val="24"/>
          <w:szCs w:val="24"/>
        </w:rPr>
        <w:t>最高限价</w:t>
      </w:r>
      <w:r>
        <w:rPr>
          <w:rFonts w:ascii="宋体" w:hAnsi="宋体" w:eastAsia="宋体"/>
          <w:sz w:val="24"/>
          <w:szCs w:val="24"/>
        </w:rPr>
        <w:t>作无效投标处理。</w:t>
      </w:r>
    </w:p>
    <w:p>
      <w:pPr>
        <w:spacing w:line="360" w:lineRule="auto"/>
        <w:ind w:firstLine="480" w:firstLineChars="200"/>
        <w:rPr>
          <w:rFonts w:ascii="宋体" w:hAnsi="宋体" w:eastAsia="宋体" w:cs="宋体"/>
          <w:bCs/>
          <w:kern w:val="0"/>
          <w:sz w:val="24"/>
          <w:szCs w:val="24"/>
        </w:rPr>
      </w:pPr>
      <w:r>
        <w:rPr>
          <w:rFonts w:hint="eastAsia" w:ascii="宋体" w:hAnsi="宋体" w:eastAsia="宋体" w:cs="宋体"/>
          <w:sz w:val="24"/>
          <w:szCs w:val="24"/>
        </w:rPr>
        <w:t>（三）项目需求：维保内容包含电梯日常维护保养，电梯困人的紧急救援，电梯故障的及时维修，电梯年检的通过（不含年检费用）等，具体</w:t>
      </w:r>
      <w:r>
        <w:rPr>
          <w:rFonts w:hint="eastAsia" w:ascii="宋体" w:hAnsi="宋体" w:eastAsia="宋体" w:cs="宋体"/>
          <w:kern w:val="0"/>
          <w:sz w:val="24"/>
          <w:szCs w:val="24"/>
        </w:rPr>
        <w:t>详见第三部分项目需求。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（四）服务期限：三年，合同一年一签。</w:t>
      </w:r>
    </w:p>
    <w:p>
      <w:pPr>
        <w:snapToGrid w:val="0"/>
        <w:spacing w:line="360" w:lineRule="auto"/>
        <w:ind w:firstLine="480" w:firstLineChars="200"/>
        <w:contextualSpacing/>
        <w:outlineLvl w:val="0"/>
        <w:rPr>
          <w:rFonts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b/>
          <w:sz w:val="24"/>
          <w:szCs w:val="24"/>
        </w:rPr>
        <w:t>申请人的资格要求：</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（一）满足《中华人民共和国政府采购法》第二十二条规定。</w:t>
      </w:r>
    </w:p>
    <w:p>
      <w:pPr>
        <w:pStyle w:val="2"/>
        <w:ind w:left="0" w:firstLine="480"/>
        <w:rPr>
          <w:bCs/>
        </w:rPr>
      </w:pPr>
      <w:r>
        <w:rPr>
          <w:rFonts w:hint="eastAsia" w:cs="宋体"/>
          <w:bCs/>
          <w:sz w:val="24"/>
          <w:szCs w:val="24"/>
        </w:rPr>
        <w:t>（二）本项目的特定资格要求：</w:t>
      </w:r>
    </w:p>
    <w:p>
      <w:pPr>
        <w:spacing w:line="360" w:lineRule="auto"/>
        <w:ind w:firstLine="480" w:firstLineChars="200"/>
        <w:rPr>
          <w:rFonts w:ascii="宋体" w:hAnsi="宋体" w:eastAsia="宋体" w:cs="宋体"/>
          <w:strike/>
          <w:sz w:val="24"/>
          <w:szCs w:val="24"/>
        </w:rPr>
      </w:pPr>
      <w:r>
        <w:rPr>
          <w:rFonts w:hint="eastAsia" w:ascii="宋体" w:hAnsi="宋体" w:eastAsia="宋体" w:cs="宋体"/>
          <w:sz w:val="24"/>
          <w:szCs w:val="24"/>
        </w:rPr>
        <w:t>1、具有独立承担民事责任的能力（提供法人或者其他组织的营业执照，提供原件复印件）；</w:t>
      </w:r>
    </w:p>
    <w:p>
      <w:pPr>
        <w:spacing w:line="360" w:lineRule="auto"/>
        <w:ind w:firstLine="480" w:firstLineChars="200"/>
        <w:contextualSpacing/>
        <w:rPr>
          <w:rFonts w:ascii="宋体" w:hAnsi="宋体" w:eastAsia="宋体" w:cs="宋体"/>
          <w:color w:val="000000"/>
          <w:sz w:val="24"/>
          <w:szCs w:val="24"/>
        </w:rPr>
      </w:pPr>
      <w:r>
        <w:rPr>
          <w:rFonts w:hint="eastAsia" w:ascii="宋体" w:hAnsi="宋体" w:eastAsia="宋体" w:cs="Arial"/>
          <w:sz w:val="24"/>
          <w:szCs w:val="24"/>
        </w:rPr>
        <w:t>2、投标供应商具备：</w:t>
      </w:r>
      <w:r>
        <w:rPr>
          <w:rFonts w:hint="eastAsia" w:ascii="宋体" w:hAnsi="宋体" w:eastAsia="宋体" w:cs="宋体"/>
          <w:color w:val="000000"/>
          <w:sz w:val="24"/>
          <w:szCs w:val="24"/>
        </w:rPr>
        <w:t>制造商需具有有效的中华人民共和国特种设备安装改造维修许可证（乘客电梯、载货电梯 ）A级资质或特种设备生产许可资质（含曳引驱动乘客电梯（含消防员电梯）、曳引驱动载货电梯和强制驱动载货电梯(含防爆电梯中的载货电梯)）；代理商需具有有效的中华人民共和国特种设备安装改造维修许可证（乘客电梯、载货电梯 ）A级资质或特种生产许可资质（安装维修）（含曳引驱动乘客电梯（含消防员电梯）、曳引驱动载货电梯和强制驱动载货电梯(含防爆电梯中的载货电梯)）。</w:t>
      </w:r>
    </w:p>
    <w:p>
      <w:pPr>
        <w:spacing w:line="360" w:lineRule="auto"/>
        <w:ind w:firstLine="480" w:firstLineChars="200"/>
        <w:rPr>
          <w:rFonts w:ascii="宋体" w:hAnsi="宋体" w:eastAsia="宋体" w:cs="宋体"/>
          <w:sz w:val="24"/>
          <w:szCs w:val="24"/>
        </w:rPr>
      </w:pPr>
      <w:r>
        <w:rPr>
          <w:rFonts w:hint="eastAsia" w:ascii="宋体" w:hAnsi="宋体" w:eastAsia="宋体" w:cs="Arial"/>
          <w:sz w:val="24"/>
          <w:szCs w:val="24"/>
        </w:rPr>
        <w:t>3、法定代表人为同一个人的两个及两个以上法人，母公司、全资子公司及其控股公司，都不得在同一采购项目相同标段中同时参加投标，一经发现，将视同围标处理；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bCs/>
          <w:kern w:val="0"/>
          <w:sz w:val="24"/>
          <w:szCs w:val="24"/>
        </w:rPr>
        <w:t>本项目不接受联合体投标。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具体详见本招标文件《第八部分　投标文件组成及格式》中的资格审查文件要求。</w:t>
      </w:r>
    </w:p>
    <w:p>
      <w:pPr>
        <w:spacing w:line="360" w:lineRule="auto"/>
        <w:ind w:firstLine="482" w:firstLineChars="200"/>
        <w:rPr>
          <w:rFonts w:ascii="宋体" w:hAnsi="宋体" w:eastAsia="宋体" w:cs="宋体"/>
          <w:b/>
          <w:sz w:val="24"/>
          <w:szCs w:val="24"/>
        </w:rPr>
      </w:pPr>
      <w:r>
        <w:rPr>
          <w:rFonts w:hint="eastAsia" w:ascii="宋体" w:hAnsi="宋体" w:eastAsia="宋体" w:cs="宋体"/>
          <w:b/>
          <w:bCs/>
          <w:sz w:val="24"/>
          <w:szCs w:val="24"/>
        </w:rPr>
        <w:t>请投标人认真对照资格条件，如不符合要求的，无意或故意参与投标所产生的一切后果由投标人自行承担；开标过程中，投标人提供的相关证件为虚假或伪造，或者其他人员持法定代表人或授权委托人的身份证参与投标，一经发现则取消投标人资格，如已中标，采购人有权取消其中标资格，</w:t>
      </w:r>
      <w:r>
        <w:rPr>
          <w:rFonts w:hint="eastAsia" w:ascii="宋体" w:hAnsi="宋体" w:eastAsia="宋体" w:cs="宋体"/>
          <w:b/>
          <w:sz w:val="24"/>
          <w:szCs w:val="24"/>
        </w:rPr>
        <w:t>并由该投标人承担由此带来可能的一切责任和损失。</w:t>
      </w:r>
    </w:p>
    <w:p>
      <w:pPr>
        <w:widowControl/>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特别提醒】单位负责人为同一人或者存在直接控股、管理关系的不同投标人，不得同时参与同一采购项目相同标段的政府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由此带来的一切责任和损失。</w:t>
      </w:r>
    </w:p>
    <w:p>
      <w:pPr>
        <w:widowControl/>
        <w:spacing w:line="360" w:lineRule="auto"/>
        <w:ind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三、获取招标文件</w:t>
      </w:r>
    </w:p>
    <w:p>
      <w:pPr>
        <w:widowControl/>
        <w:spacing w:line="360" w:lineRule="auto"/>
        <w:ind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时间：招标文件发布之日起至2023年 1月10日</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方式：公告下直接下载。</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售价：人民币叁佰元整。</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四、</w:t>
      </w:r>
      <w:r>
        <w:rPr>
          <w:rFonts w:hint="eastAsia" w:ascii="宋体" w:hAnsi="宋体" w:eastAsia="宋体" w:cs="宋体"/>
          <w:b/>
          <w:sz w:val="24"/>
          <w:szCs w:val="24"/>
        </w:rPr>
        <w:t>投标文件的递交</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1、投标截止时间为 ： 2023年1 月10 日9时30分（北京时间）</w:t>
      </w:r>
    </w:p>
    <w:p>
      <w:pPr>
        <w:widowControl/>
        <w:spacing w:line="360" w:lineRule="auto"/>
        <w:ind w:firstLine="482" w:firstLineChars="200"/>
        <w:contextualSpacing/>
        <w:jc w:val="left"/>
        <w:rPr>
          <w:rFonts w:ascii="宋体" w:hAnsi="宋体" w:eastAsia="宋体" w:cs="宋体"/>
          <w:sz w:val="24"/>
          <w:szCs w:val="24"/>
        </w:rPr>
      </w:pPr>
      <w:r>
        <w:rPr>
          <w:rFonts w:hint="eastAsia" w:ascii="宋体" w:hAnsi="宋体" w:eastAsia="宋体" w:cs="宋体"/>
          <w:b/>
          <w:sz w:val="24"/>
          <w:szCs w:val="24"/>
        </w:rPr>
        <w:t>2、递交方式：各投标单位在开标截止时间前将投标文件保存为加盖公章的PDF扫描件分“资格审查文件、技术标文件、商务标文件”分别压缩加密后（以1份电子邮件形式发送，投标单位可在招标文件提交截止时间前，对其电子投标文件进行修改，招标代理下载的投标文件为规定时间内最后发送到邮箱的投标文件）发送至邮箱：649240141@qq.com ，并注明单位名称。逾期未发送的投标文件，招标人将不予受理。</w:t>
      </w:r>
    </w:p>
    <w:p>
      <w:pPr>
        <w:widowControl/>
        <w:spacing w:line="360" w:lineRule="auto"/>
        <w:ind w:firstLine="480" w:firstLineChars="200"/>
        <w:contextualSpacing/>
        <w:jc w:val="left"/>
        <w:rPr>
          <w:rFonts w:hint="eastAsia" w:ascii="宋体" w:hAnsi="宋体" w:eastAsia="宋体" w:cs="宋体"/>
          <w:sz w:val="24"/>
          <w:szCs w:val="24"/>
          <w:lang w:eastAsia="zh-CN"/>
        </w:rPr>
      </w:pPr>
      <w:r>
        <w:rPr>
          <w:rFonts w:hint="eastAsia" w:ascii="宋体" w:hAnsi="宋体" w:eastAsia="宋体" w:cs="宋体"/>
          <w:sz w:val="24"/>
          <w:szCs w:val="24"/>
        </w:rPr>
        <w:t>3、开标：开标截止时间后请各投标根据招标代理要求将压缩解密密码发送在“南通城建开发区不见面开标群”中</w:t>
      </w:r>
      <w:r>
        <w:rPr>
          <w:rFonts w:hint="eastAsia" w:ascii="宋体" w:hAnsi="宋体" w:eastAsia="宋体" w:cs="宋体"/>
          <w:sz w:val="24"/>
          <w:szCs w:val="24"/>
          <w:lang w:eastAsia="zh-CN"/>
        </w:rPr>
        <w:t>。</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4、本项目采用远程不见面交易模式，投标人仅需制作电子投标文件，无需提供纸质投标文件；中标人在领取中标通知书前须提交投标文件叁套（包括资格审查资料、技术标、商务标）。</w:t>
      </w:r>
    </w:p>
    <w:p>
      <w:pPr>
        <w:snapToGrid w:val="0"/>
        <w:spacing w:line="360" w:lineRule="auto"/>
        <w:ind w:firstLine="555"/>
        <w:contextualSpacing/>
        <w:rPr>
          <w:rFonts w:ascii="宋体" w:hAnsi="宋体" w:eastAsia="宋体"/>
          <w:b/>
          <w:sz w:val="24"/>
          <w:szCs w:val="24"/>
        </w:rPr>
      </w:pPr>
      <w:r>
        <w:rPr>
          <w:rFonts w:hint="eastAsia" w:ascii="宋体" w:hAnsi="宋体" w:eastAsia="宋体"/>
          <w:b/>
          <w:sz w:val="24"/>
          <w:szCs w:val="24"/>
        </w:rPr>
        <w:t>五、开启</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b/>
          <w:sz w:val="24"/>
          <w:szCs w:val="24"/>
        </w:rPr>
        <w:t>2023年1月10 日 9点30分</w:t>
      </w:r>
      <w:r>
        <w:rPr>
          <w:rFonts w:hint="eastAsia" w:ascii="宋体" w:hAnsi="宋体" w:eastAsia="宋体" w:cs="宋体"/>
          <w:sz w:val="24"/>
          <w:szCs w:val="24"/>
        </w:rPr>
        <w:t>（北京时间）</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地点：投标人自行选择任意地点参加远程开标会</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注：为确保本项目远程开标时交互顺利，现提供QQ群作为本项目的备用远程交互群，群号为：688296845，群名称为：南通城建开发区不见面开标群，投标人的授权委托人在开标前半小时内以“单位全称+授权委托人姓名”的格式申请加入此群，并在入群后修改自己在群里的备注名称为“单位全称+授权委托人姓名”，在开评标全过程中，则以此QQ群作为远程交互工具进行实时交互，若此时投标人未加入QQ交互群，则视为不参与本次招标投标且无权对开评标全过程提疑。</w:t>
      </w:r>
    </w:p>
    <w:p>
      <w:pPr>
        <w:snapToGrid w:val="0"/>
        <w:spacing w:line="360" w:lineRule="auto"/>
        <w:ind w:firstLine="555"/>
        <w:contextualSpacing/>
        <w:rPr>
          <w:rFonts w:ascii="宋体" w:hAnsi="宋体" w:eastAsia="宋体"/>
          <w:b/>
          <w:sz w:val="24"/>
          <w:szCs w:val="24"/>
        </w:rPr>
      </w:pPr>
      <w:r>
        <w:rPr>
          <w:rFonts w:hint="eastAsia" w:ascii="宋体" w:hAnsi="宋体" w:eastAsia="宋体"/>
          <w:b/>
          <w:sz w:val="24"/>
          <w:szCs w:val="24"/>
        </w:rPr>
        <w:t>六、公告期限</w:t>
      </w:r>
    </w:p>
    <w:p>
      <w:pPr>
        <w:snapToGrid w:val="0"/>
        <w:spacing w:line="360" w:lineRule="auto"/>
        <w:ind w:firstLine="555"/>
        <w:contextualSpacing/>
        <w:rPr>
          <w:rFonts w:ascii="宋体" w:hAnsi="宋体" w:eastAsia="宋体"/>
          <w:sz w:val="24"/>
          <w:szCs w:val="24"/>
        </w:rPr>
      </w:pPr>
      <w:r>
        <w:rPr>
          <w:rFonts w:hint="eastAsia" w:ascii="宋体" w:hAnsi="宋体" w:eastAsia="宋体"/>
          <w:sz w:val="24"/>
          <w:szCs w:val="24"/>
        </w:rPr>
        <w:t>自招标公告在“</w:t>
      </w:r>
      <w:r>
        <w:rPr>
          <w:rFonts w:hint="eastAsia" w:ascii="宋体" w:hAnsi="宋体" w:eastAsia="宋体"/>
          <w:b/>
          <w:bCs/>
          <w:sz w:val="24"/>
          <w:szCs w:val="24"/>
          <w:u w:val="single"/>
        </w:rPr>
        <w:t>南通汽运实业集团有限公司 (http://www.ntqyjt.com.cn) 、南通农副产品物流有限公司（</w:t>
      </w:r>
      <w:r>
        <w:rPr>
          <w:rFonts w:ascii="宋体" w:hAnsi="宋体" w:eastAsia="宋体"/>
          <w:b/>
          <w:bCs/>
          <w:sz w:val="24"/>
          <w:szCs w:val="24"/>
          <w:u w:val="single"/>
        </w:rPr>
        <w:t>http://www.ntnfcp.com/</w:t>
      </w:r>
      <w:r>
        <w:rPr>
          <w:rFonts w:hint="eastAsia" w:ascii="宋体" w:hAnsi="宋体" w:eastAsia="宋体"/>
          <w:b/>
          <w:bCs/>
          <w:sz w:val="24"/>
          <w:szCs w:val="24"/>
          <w:u w:val="single"/>
        </w:rPr>
        <w:t>）</w:t>
      </w:r>
      <w:r>
        <w:rPr>
          <w:rFonts w:hint="eastAsia" w:ascii="宋体" w:hAnsi="宋体" w:eastAsia="宋体"/>
          <w:sz w:val="24"/>
          <w:szCs w:val="24"/>
        </w:rPr>
        <w:t>”发布之日起5</w:t>
      </w:r>
      <w:r>
        <w:rPr>
          <w:rFonts w:ascii="宋体" w:hAnsi="宋体" w:eastAsia="宋体"/>
          <w:sz w:val="24"/>
          <w:szCs w:val="24"/>
        </w:rPr>
        <w:t>个工作日</w:t>
      </w:r>
      <w:r>
        <w:rPr>
          <w:rFonts w:hint="eastAsia" w:ascii="宋体" w:hAnsi="宋体" w:eastAsia="宋体"/>
          <w:sz w:val="24"/>
          <w:szCs w:val="24"/>
        </w:rPr>
        <w:t>。</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七、对本次招标提出询问，请按以下方式联系。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w:t>
      </w:r>
      <w:r>
        <w:rPr>
          <w:rFonts w:hint="eastAsia" w:eastAsia="宋体"/>
        </w:rPr>
        <w:t xml:space="preserve">南通农副产品物流有限公司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采购人联系人：姚女士</w:t>
      </w:r>
    </w:p>
    <w:p>
      <w:pPr>
        <w:spacing w:line="360" w:lineRule="auto"/>
        <w:ind w:firstLine="480" w:firstLineChars="200"/>
        <w:rPr>
          <w:rFonts w:ascii="宋体" w:hAnsi="宋体" w:cs="宋体"/>
          <w:kern w:val="0"/>
          <w:sz w:val="24"/>
        </w:rPr>
      </w:pPr>
      <w:r>
        <w:rPr>
          <w:rFonts w:hint="eastAsia" w:ascii="宋体" w:hAnsi="宋体" w:eastAsia="宋体" w:cs="宋体"/>
          <w:sz w:val="24"/>
          <w:szCs w:val="24"/>
        </w:rPr>
        <w:t>联系电话：</w:t>
      </w:r>
      <w:r>
        <w:rPr>
          <w:rFonts w:hint="eastAsia" w:ascii="宋体" w:hAnsi="宋体" w:cs="宋体"/>
          <w:kern w:val="0"/>
          <w:sz w:val="24"/>
        </w:rPr>
        <w:t>15996533722</w:t>
      </w:r>
    </w:p>
    <w:p>
      <w:pPr>
        <w:spacing w:line="360" w:lineRule="auto"/>
        <w:ind w:firstLine="480" w:firstLineChars="200"/>
        <w:rPr>
          <w:rFonts w:ascii="宋体" w:hAnsi="宋体" w:eastAsia="宋体" w:cs="宋体"/>
          <w:kern w:val="0"/>
          <w:sz w:val="24"/>
          <w:szCs w:val="22"/>
        </w:rPr>
      </w:pPr>
      <w:r>
        <w:rPr>
          <w:rFonts w:hint="eastAsia" w:ascii="宋体" w:hAnsi="宋体" w:eastAsia="宋体" w:cs="宋体"/>
          <w:kern w:val="0"/>
          <w:sz w:val="24"/>
          <w:szCs w:val="22"/>
        </w:rPr>
        <w:t>监督人： 张女士</w:t>
      </w:r>
    </w:p>
    <w:p>
      <w:pPr>
        <w:spacing w:line="360" w:lineRule="auto"/>
        <w:ind w:firstLine="480" w:firstLineChars="200"/>
        <w:rPr>
          <w:rFonts w:ascii="宋体" w:hAnsi="宋体" w:eastAsia="宋体" w:cs="宋体"/>
          <w:kern w:val="0"/>
          <w:sz w:val="24"/>
          <w:szCs w:val="22"/>
        </w:rPr>
      </w:pPr>
      <w:r>
        <w:rPr>
          <w:rFonts w:hint="eastAsia" w:ascii="宋体" w:hAnsi="宋体" w:eastAsia="宋体" w:cs="宋体"/>
          <w:kern w:val="0"/>
          <w:sz w:val="24"/>
          <w:szCs w:val="22"/>
        </w:rPr>
        <w:t>联系电话： 0513-51088082</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代理机构：南通城建工程项目管理有限公司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址：南通市世纪大道18号恒隆国际A座801室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代理机构联系人：顾莉玲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ascii="宋体" w:hAnsi="宋体" w:eastAsia="宋体" w:cs="宋体"/>
          <w:sz w:val="24"/>
          <w:szCs w:val="24"/>
        </w:rPr>
        <w:t>0513-</w:t>
      </w:r>
      <w:r>
        <w:rPr>
          <w:rFonts w:hint="eastAsia" w:ascii="宋体" w:hAnsi="宋体" w:eastAsia="宋体" w:cs="宋体"/>
          <w:sz w:val="24"/>
          <w:szCs w:val="24"/>
        </w:rPr>
        <w:t>85502599/18912268177</w:t>
      </w:r>
    </w:p>
    <w:p>
      <w:pPr>
        <w:spacing w:line="360" w:lineRule="auto"/>
        <w:ind w:firstLine="480" w:firstLineChars="200"/>
      </w:pPr>
      <w:r>
        <w:rPr>
          <w:rFonts w:hint="eastAsia" w:ascii="宋体" w:hAnsi="宋体" w:eastAsia="宋体" w:cs="宋体"/>
          <w:sz w:val="24"/>
          <w:szCs w:val="24"/>
        </w:rPr>
        <w:t>邮   箱：ntcjzb@126.com</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八、其他</w:t>
      </w:r>
    </w:p>
    <w:p>
      <w:pPr>
        <w:tabs>
          <w:tab w:val="left" w:pos="1050"/>
          <w:tab w:val="right" w:leader="dot" w:pos="9402"/>
        </w:tabs>
        <w:spacing w:line="360" w:lineRule="auto"/>
        <w:ind w:firstLine="482" w:firstLineChars="200"/>
        <w:outlineLvl w:val="0"/>
        <w:rPr>
          <w:rFonts w:ascii="宋体" w:hAnsi="宋体" w:eastAsia="宋体" w:cs="宋体"/>
          <w:bCs/>
          <w:sz w:val="24"/>
          <w:szCs w:val="24"/>
        </w:rPr>
      </w:pPr>
      <w:r>
        <w:rPr>
          <w:rFonts w:hint="eastAsia" w:ascii="宋体" w:hAnsi="宋体" w:eastAsia="宋体" w:cs="宋体"/>
          <w:b/>
          <w:bCs/>
          <w:sz w:val="24"/>
          <w:szCs w:val="24"/>
        </w:rPr>
        <w:t>1、投标单位应依照规定提交各类声明函、承诺函、技术标中所需提供的合同、证件等，不再同时提供原件备查或提供有关部门出具的相关证明文件。但中标单位应做好提交声明函、承诺函、技术标中所需提供的合同、证件等相应原件的核查准备；</w:t>
      </w:r>
      <w:r>
        <w:rPr>
          <w:rFonts w:hint="eastAsia" w:ascii="宋体" w:hAnsi="宋体" w:eastAsia="宋体" w:cs="宋体"/>
          <w:bCs/>
          <w:sz w:val="24"/>
          <w:szCs w:val="24"/>
        </w:rPr>
        <w:t>核查后发现虚假或违背承诺的，依照相关法律法规规定处理。采购人可以按照评标委员会提出的中标候选人名单排序依次确定其他中标候选人为中标人，也可以重新招标。</w:t>
      </w:r>
    </w:p>
    <w:p>
      <w:pPr>
        <w:spacing w:line="360" w:lineRule="auto"/>
        <w:ind w:firstLine="480" w:firstLineChars="200"/>
        <w:rPr>
          <w:rFonts w:ascii="宋体" w:hAnsi="宋体" w:eastAsia="宋体"/>
          <w:sz w:val="24"/>
          <w:szCs w:val="24"/>
        </w:rPr>
      </w:pPr>
    </w:p>
    <w:p>
      <w:pPr>
        <w:pStyle w:val="2"/>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tabs>
          <w:tab w:val="left" w:pos="1050"/>
          <w:tab w:val="right" w:leader="dot" w:pos="9402"/>
        </w:tabs>
        <w:spacing w:line="360" w:lineRule="auto"/>
        <w:jc w:val="center"/>
        <w:outlineLvl w:val="0"/>
        <w:rPr>
          <w:rFonts w:ascii="宋体" w:hAnsi="宋体" w:eastAsia="宋体" w:cs="宋体"/>
          <w:b/>
          <w:w w:val="80"/>
          <w:kern w:val="44"/>
          <w:sz w:val="24"/>
          <w:szCs w:val="24"/>
        </w:rPr>
      </w:pPr>
      <w:r>
        <w:rPr>
          <w:rFonts w:hint="eastAsia" w:ascii="宋体" w:hAnsi="宋体" w:eastAsia="宋体" w:cs="宋体"/>
          <w:b/>
          <w:w w:val="80"/>
          <w:sz w:val="32"/>
          <w:szCs w:val="32"/>
        </w:rPr>
        <w:t>第二部分  投标人须知</w:t>
      </w:r>
      <w:bookmarkEnd w:id="1"/>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一、说明</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1、本招标文件仅适用于南通城建工程项目管理有限公司组织的公开招标活动。</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2、公开招标活动及因本次招标产生的合同受中国法律制约和保护。</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3、招标文件的解释权属于南通城建工程项目管理有限公司。</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sz w:val="24"/>
          <w:szCs w:val="24"/>
        </w:rPr>
        <w:t>投标人在知道或应当知道本项目招标公告及招标文件中的所有内容：如内容或页码短缺、资格要求和技术参数出现倾向性或排他性等表述的，</w:t>
      </w:r>
      <w:r>
        <w:rPr>
          <w:rFonts w:ascii="宋体" w:hAnsi="宋体" w:eastAsia="宋体"/>
          <w:b/>
          <w:spacing w:val="-2"/>
          <w:sz w:val="24"/>
          <w:szCs w:val="24"/>
        </w:rPr>
        <w:t>应在本项目招标公告期限及期限届满之日后的7个工作日内提出询问或以书面实名制形式提出质疑</w:t>
      </w:r>
      <w:r>
        <w:rPr>
          <w:rFonts w:hint="eastAsia" w:ascii="宋体" w:hAnsi="宋体" w:eastAsia="宋体"/>
          <w:b/>
          <w:spacing w:val="-2"/>
          <w:sz w:val="24"/>
          <w:szCs w:val="24"/>
        </w:rPr>
        <w:t>；</w:t>
      </w:r>
      <w:r>
        <w:rPr>
          <w:rFonts w:hint="eastAsia" w:ascii="宋体" w:hAnsi="宋体" w:eastAsia="宋体" w:cs="宋体"/>
          <w:sz w:val="24"/>
          <w:szCs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eastAsia="宋体" w:cs="宋体"/>
          <w:b/>
          <w:bCs/>
          <w:sz w:val="24"/>
          <w:szCs w:val="24"/>
        </w:rPr>
        <w:t>非书面形式的不作为日后质疑提出的依据。</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eastAsia="宋体" w:cs="宋体"/>
          <w:sz w:val="24"/>
          <w:szCs w:val="24"/>
        </w:rPr>
        <w:t>与投标。</w:t>
      </w:r>
    </w:p>
    <w:p>
      <w:pPr>
        <w:snapToGrid w:val="0"/>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二、招标文件的补充说明、澄清、修改、答疑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1、代理机构有权对发出的招标文件进行必要的补充说明、澄清或修改。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2、凡涉及招标文件的补充说明、澄清或修改，均以</w:t>
      </w:r>
      <w:r>
        <w:rPr>
          <w:rFonts w:hint="eastAsia" w:ascii="宋体" w:hAnsi="宋体" w:eastAsia="宋体"/>
          <w:sz w:val="24"/>
          <w:szCs w:val="24"/>
        </w:rPr>
        <w:t>南通汽运实业集团有限公司 (</w:t>
      </w:r>
      <w:r>
        <w:fldChar w:fldCharType="begin"/>
      </w:r>
      <w:r>
        <w:instrText xml:space="preserve"> HYPERLINK "http://www.ntqyjt.com.cn" </w:instrText>
      </w:r>
      <w:r>
        <w:fldChar w:fldCharType="separate"/>
      </w:r>
      <w:r>
        <w:rPr>
          <w:rStyle w:val="64"/>
          <w:rFonts w:hint="eastAsia" w:ascii="宋体" w:hAnsi="宋体" w:eastAsia="宋体"/>
          <w:sz w:val="24"/>
          <w:szCs w:val="24"/>
        </w:rPr>
        <w:t>http://www.ntqyjt.com.cn</w:t>
      </w:r>
      <w:r>
        <w:rPr>
          <w:rStyle w:val="64"/>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bCs/>
          <w:sz w:val="24"/>
          <w:szCs w:val="24"/>
        </w:rPr>
        <w:t>南通农副产品物流有限公司（</w:t>
      </w:r>
      <w:r>
        <w:rPr>
          <w:rFonts w:ascii="宋体" w:hAnsi="宋体" w:eastAsia="宋体"/>
          <w:bCs/>
          <w:sz w:val="24"/>
          <w:szCs w:val="24"/>
        </w:rPr>
        <w:t>http://www.ntnfcp.com/</w:t>
      </w:r>
      <w:r>
        <w:rPr>
          <w:rFonts w:hint="eastAsia" w:ascii="宋体" w:hAnsi="宋体" w:eastAsia="宋体"/>
          <w:bCs/>
          <w:sz w:val="24"/>
          <w:szCs w:val="24"/>
        </w:rPr>
        <w:t>）</w:t>
      </w:r>
      <w:r>
        <w:rPr>
          <w:rFonts w:hint="eastAsia" w:ascii="宋体" w:hAnsi="宋体" w:eastAsia="宋体" w:cs="宋体"/>
          <w:sz w:val="24"/>
          <w:szCs w:val="24"/>
        </w:rPr>
        <w:t xml:space="preserve">发布的信息为准。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3、代理机构对招标文件的补充说明、澄清或修改，将构成招标文件的一部分，对投标人具有约束力。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4、补充说明、澄清或修改的内容可能影响到投标文件编制的，代理机构将在提交首次投标文件截止之日15日前，发布补充说明、澄清或修改公告，不足15日的，应当顺延提交首次投标文件截止之日。</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5、除非代理机构以书面的形式对招标文件作出澄清、修改及补充，投标人对涉及招标文件的任何推论、理解和结论所造成的结果，均由投标人自负。</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6、采购人视情组织答疑会。如有产生答疑且对招标文件内容有修改，代理机构将按照本须知有关规定，以补充通知（公告）的方式发出。</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三、投标项目涉及到的现场勘察</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1、所有投标人自行勘察现场，以获取编制投标文件和签署合同所需的信息。勘察现场所发生的费用由投标人自己承担。</w:t>
      </w:r>
      <w:r>
        <w:rPr>
          <w:rFonts w:hint="eastAsia" w:cs="仿宋" w:asciiTheme="majorEastAsia" w:hAnsiTheme="majorEastAsia" w:eastAsiaTheme="majorEastAsia"/>
          <w:sz w:val="24"/>
          <w:szCs w:val="24"/>
        </w:rPr>
        <w:t>中标后不得以不了解项目现场实际情况为由，要求采购人增加服务费用。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2、采购人向投标人提供的有关现场的资料和数据，是采购人现有的并认为能使投标人可利用的资料。采购人对投标人由此而做出的推论、理解和结论概不负责。</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应认真踏勘现场。在现场勘察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4、投标人不得因勘察现场使采购人承担有关的责任和蒙受损失。投标人应承担勘察现场的责任和风险。</w:t>
      </w:r>
    </w:p>
    <w:p>
      <w:pPr>
        <w:snapToGrid w:val="0"/>
        <w:spacing w:line="360" w:lineRule="auto"/>
        <w:ind w:firstLine="472" w:firstLineChars="196"/>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现场勘察联系人：李先生    联系方式：13861982169</w:t>
      </w:r>
    </w:p>
    <w:p>
      <w:pPr>
        <w:spacing w:line="360" w:lineRule="auto"/>
        <w:ind w:firstLine="482" w:firstLineChars="200"/>
      </w:pPr>
      <w:r>
        <w:rPr>
          <w:rFonts w:hint="eastAsia" w:cs="仿宋" w:asciiTheme="majorEastAsia" w:hAnsiTheme="majorEastAsia" w:eastAsiaTheme="majorEastAsia"/>
          <w:b/>
          <w:sz w:val="24"/>
          <w:szCs w:val="24"/>
        </w:rPr>
        <w:t>勘查时间：从发布之日至投标前1日的9：00—15：00。</w:t>
      </w:r>
    </w:p>
    <w:p>
      <w:pPr>
        <w:snapToGrid w:val="0"/>
        <w:spacing w:line="360" w:lineRule="auto"/>
        <w:ind w:firstLine="472" w:firstLineChars="196"/>
        <w:outlineLvl w:val="1"/>
        <w:rPr>
          <w:rFonts w:ascii="宋体" w:hAnsi="宋体" w:eastAsia="宋体" w:cs="宋体"/>
          <w:b/>
          <w:sz w:val="24"/>
          <w:szCs w:val="24"/>
        </w:rPr>
      </w:pPr>
      <w:r>
        <w:rPr>
          <w:rFonts w:hint="eastAsia" w:ascii="宋体" w:hAnsi="宋体" w:eastAsia="宋体" w:cs="宋体"/>
          <w:b/>
          <w:sz w:val="24"/>
          <w:szCs w:val="24"/>
        </w:rPr>
        <w:t>四、投标文件的组成</w:t>
      </w:r>
    </w:p>
    <w:p>
      <w:pPr>
        <w:snapToGrid w:val="0"/>
        <w:spacing w:line="360" w:lineRule="auto"/>
        <w:ind w:firstLine="470" w:firstLineChars="196"/>
        <w:outlineLvl w:val="1"/>
        <w:rPr>
          <w:rFonts w:ascii="宋体" w:hAnsi="宋体" w:eastAsia="宋体" w:cs="宋体"/>
          <w:b/>
          <w:sz w:val="24"/>
          <w:szCs w:val="24"/>
        </w:rPr>
      </w:pPr>
      <w:r>
        <w:rPr>
          <w:rFonts w:hint="eastAsia" w:ascii="宋体" w:hAnsi="宋体" w:eastAsia="宋体" w:cs="宋体"/>
          <w:sz w:val="24"/>
          <w:szCs w:val="24"/>
        </w:rPr>
        <w:t>1、投标文件由：①资格审查文件、②技术标、③商务标共三部分组成。</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2、投标人应在开标截止时间前将将投标文件保存为加盖公章的PDF扫描件分“资格审查文件、技术标文件、商务标文件”分别压缩加密后（以1份电子邮件形式发送，投标单位可在招标文件提交截止时间前，对其电子投标文件进行修改，招标代理下载的投标文件为规定时间内最后发送到邮箱的投标文件）发送至邮箱：</w:t>
      </w:r>
      <w:r>
        <w:fldChar w:fldCharType="begin"/>
      </w:r>
      <w:r>
        <w:instrText xml:space="preserve"> HYPERLINK "mailto:649240141@qq.com。" </w:instrText>
      </w:r>
      <w:r>
        <w:fldChar w:fldCharType="separate"/>
      </w:r>
      <w:r>
        <w:rPr>
          <w:rFonts w:hint="eastAsia" w:ascii="宋体" w:hAnsi="宋体" w:eastAsia="宋体" w:cs="宋体"/>
          <w:sz w:val="24"/>
          <w:szCs w:val="24"/>
        </w:rPr>
        <w:t>649240141@qq.com。</w:t>
      </w:r>
      <w:r>
        <w:rPr>
          <w:rFonts w:hint="eastAsia" w:ascii="宋体" w:hAnsi="宋体" w:eastAsia="宋体" w:cs="宋体"/>
          <w:sz w:val="24"/>
          <w:szCs w:val="24"/>
        </w:rPr>
        <w:fldChar w:fldCharType="end"/>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3、本项目投标文件是指发送至邮箱的电子投标文件。开标室无需递交纸质投标文件和原件。中标单位在中标公示期结束后、领取中标通知书前必须按前附表要求提供纸质投标文件（资格审查材料、技术标、商务标），以供存档。纸质投标文件必须保证与评标时的电子标书完全一致。</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五、投标文件的份数、签署（本项目不适用用）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1、投标人应准备</w:t>
      </w:r>
      <w:r>
        <w:rPr>
          <w:rFonts w:hint="eastAsia" w:ascii="宋体" w:hAnsi="宋体" w:eastAsia="宋体" w:cs="宋体"/>
          <w:sz w:val="24"/>
          <w:szCs w:val="24"/>
          <w:u w:val="single"/>
        </w:rPr>
        <w:t>叁</w:t>
      </w:r>
      <w:r>
        <w:rPr>
          <w:rFonts w:hint="eastAsia" w:ascii="宋体" w:hAnsi="宋体" w:eastAsia="宋体" w:cs="宋体"/>
          <w:sz w:val="24"/>
          <w:szCs w:val="24"/>
        </w:rPr>
        <w:t>份完整的投标文件，其中正本</w:t>
      </w:r>
      <w:r>
        <w:rPr>
          <w:rFonts w:hint="eastAsia" w:ascii="宋体" w:hAnsi="宋体" w:eastAsia="宋体" w:cs="宋体"/>
          <w:sz w:val="24"/>
          <w:szCs w:val="24"/>
          <w:u w:val="single"/>
        </w:rPr>
        <w:t xml:space="preserve"> 壹 </w:t>
      </w:r>
      <w:r>
        <w:rPr>
          <w:rFonts w:hint="eastAsia" w:ascii="宋体" w:hAnsi="宋体" w:eastAsia="宋体" w:cs="宋体"/>
          <w:sz w:val="24"/>
          <w:szCs w:val="24"/>
        </w:rPr>
        <w:t>份，副本</w:t>
      </w:r>
      <w:r>
        <w:rPr>
          <w:rFonts w:hint="eastAsia" w:ascii="宋体" w:hAnsi="宋体" w:eastAsia="宋体" w:cs="宋体"/>
          <w:sz w:val="24"/>
          <w:szCs w:val="24"/>
          <w:u w:val="single"/>
        </w:rPr>
        <w:t>贰</w:t>
      </w:r>
      <w:r>
        <w:rPr>
          <w:rFonts w:hint="eastAsia" w:ascii="宋体" w:hAnsi="宋体" w:eastAsia="宋体" w:cs="宋体"/>
          <w:sz w:val="24"/>
          <w:szCs w:val="24"/>
        </w:rPr>
        <w:t>份，并标明“正本”或“副本”字样，若有差异，概以“正本”为准。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分三册密封。第一册为“资格审查文件”，第二册为“技术标”，第三册为“商务标”，投标文件的第一册、第二册、第三册应分别密封，并在封袋上标明“资格审查文件”、“技术标”、“商务标”。</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3、投标人可将投标文件正副本统一密封或分别密封，如正本和副本分别密封的，应在封袋上标明正、副本字样。</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4、投标文件正本须按招标文件要求由法定代表人或被授权人签字或盖章并加盖投标人印章。副本可复印，但须加盖投标人印章。</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5、开标程序顺利进行后，所有投标文件都将作为档案保存，不论成交与否，代理机构均不退回（未拆封的除外）。</w:t>
      </w:r>
    </w:p>
    <w:p>
      <w:pPr>
        <w:snapToGrid w:val="0"/>
        <w:spacing w:line="360" w:lineRule="auto"/>
        <w:ind w:firstLine="472" w:firstLineChars="196"/>
        <w:outlineLvl w:val="1"/>
        <w:rPr>
          <w:rFonts w:ascii="宋体" w:hAnsi="宋体" w:eastAsia="宋体" w:cs="宋体"/>
          <w:b/>
          <w:bCs/>
          <w:sz w:val="24"/>
          <w:szCs w:val="24"/>
        </w:rPr>
      </w:pPr>
      <w:r>
        <w:rPr>
          <w:rFonts w:hint="eastAsia" w:ascii="宋体" w:hAnsi="宋体" w:eastAsia="宋体" w:cs="宋体"/>
          <w:b/>
          <w:bCs/>
          <w:sz w:val="24"/>
          <w:szCs w:val="24"/>
        </w:rPr>
        <w:t>六、投标文件的密封及标记（本项目不适用）</w:t>
      </w:r>
    </w:p>
    <w:p>
      <w:pPr>
        <w:snapToGrid w:val="0"/>
        <w:spacing w:line="360" w:lineRule="auto"/>
        <w:ind w:firstLine="470" w:firstLineChars="196"/>
        <w:outlineLvl w:val="1"/>
        <w:rPr>
          <w:rFonts w:ascii="宋体" w:hAnsi="宋体" w:eastAsia="宋体"/>
          <w:sz w:val="24"/>
          <w:szCs w:val="24"/>
        </w:rPr>
      </w:pPr>
      <w:r>
        <w:rPr>
          <w:rFonts w:ascii="宋体" w:hAnsi="宋体" w:eastAsia="宋体"/>
          <w:sz w:val="24"/>
          <w:szCs w:val="24"/>
        </w:rPr>
        <w:t>投标文件</w:t>
      </w:r>
      <w:r>
        <w:rPr>
          <w:rFonts w:hint="eastAsia" w:ascii="宋体" w:hAnsi="宋体" w:eastAsia="宋体"/>
          <w:sz w:val="24"/>
          <w:szCs w:val="24"/>
        </w:rPr>
        <w:t>必须</w:t>
      </w:r>
      <w:r>
        <w:rPr>
          <w:rFonts w:hint="eastAsia" w:ascii="宋体" w:hAnsi="宋体" w:eastAsia="宋体"/>
          <w:b/>
          <w:sz w:val="24"/>
          <w:szCs w:val="24"/>
        </w:rPr>
        <w:t>单独密封</w:t>
      </w:r>
      <w:r>
        <w:rPr>
          <w:rFonts w:hint="eastAsia" w:ascii="宋体" w:hAnsi="宋体" w:eastAsia="宋体"/>
          <w:sz w:val="24"/>
          <w:szCs w:val="24"/>
        </w:rPr>
        <w:t>，</w:t>
      </w:r>
      <w:r>
        <w:rPr>
          <w:rFonts w:hint="eastAsia" w:ascii="宋体" w:hAnsi="宋体" w:eastAsia="宋体" w:cs="宋体"/>
          <w:sz w:val="24"/>
          <w:szCs w:val="24"/>
        </w:rPr>
        <w:t>密封后，</w:t>
      </w:r>
      <w:r>
        <w:rPr>
          <w:rFonts w:ascii="宋体" w:hAnsi="宋体" w:eastAsia="宋体"/>
          <w:sz w:val="24"/>
          <w:szCs w:val="24"/>
        </w:rPr>
        <w:t>应在每一密封包的投标文件上明确标注</w:t>
      </w:r>
      <w:r>
        <w:rPr>
          <w:rFonts w:hint="eastAsia" w:ascii="宋体" w:hAnsi="宋体" w:eastAsia="宋体" w:cs="宋体"/>
          <w:sz w:val="24"/>
          <w:szCs w:val="24"/>
        </w:rPr>
        <w:t>投标文件</w:t>
      </w:r>
      <w:r>
        <w:rPr>
          <w:rFonts w:hint="eastAsia" w:ascii="宋体" w:hAnsi="宋体" w:eastAsia="宋体" w:cs="宋体"/>
          <w:b/>
          <w:sz w:val="24"/>
          <w:szCs w:val="24"/>
        </w:rPr>
        <w:t>项目名称、投标人名称</w:t>
      </w:r>
      <w:r>
        <w:rPr>
          <w:rFonts w:hint="eastAsia" w:ascii="宋体" w:hAnsi="宋体" w:eastAsia="宋体" w:cs="宋体"/>
          <w:sz w:val="24"/>
          <w:szCs w:val="24"/>
        </w:rPr>
        <w:t>、</w:t>
      </w:r>
      <w:r>
        <w:rPr>
          <w:rFonts w:hint="eastAsia" w:ascii="宋体" w:hAnsi="宋体" w:eastAsia="宋体"/>
          <w:sz w:val="24"/>
          <w:szCs w:val="24"/>
        </w:rPr>
        <w:t>同时加盖投标人公章。</w:t>
      </w:r>
    </w:p>
    <w:p>
      <w:pPr>
        <w:snapToGrid w:val="0"/>
        <w:spacing w:line="360" w:lineRule="auto"/>
        <w:ind w:firstLine="472" w:firstLineChars="196"/>
        <w:outlineLvl w:val="1"/>
        <w:rPr>
          <w:rFonts w:ascii="宋体" w:hAnsi="宋体" w:eastAsia="宋体"/>
          <w:b/>
          <w:sz w:val="24"/>
          <w:szCs w:val="24"/>
        </w:rPr>
      </w:pPr>
      <w:r>
        <w:rPr>
          <w:rFonts w:hint="eastAsia" w:ascii="宋体" w:hAnsi="宋体" w:eastAsia="宋体" w:cs="宋体"/>
          <w:b/>
          <w:bCs/>
          <w:sz w:val="24"/>
          <w:szCs w:val="24"/>
        </w:rPr>
        <w:t>七、</w:t>
      </w:r>
      <w:r>
        <w:rPr>
          <w:rFonts w:hint="eastAsia" w:ascii="宋体" w:hAnsi="宋体" w:eastAsia="宋体"/>
          <w:b/>
          <w:sz w:val="24"/>
          <w:szCs w:val="24"/>
        </w:rPr>
        <w:t>投标文件的有效期</w:t>
      </w:r>
    </w:p>
    <w:p>
      <w:pPr>
        <w:snapToGrid w:val="0"/>
        <w:spacing w:line="360" w:lineRule="auto"/>
        <w:ind w:firstLine="470" w:firstLineChars="196"/>
        <w:outlineLvl w:val="1"/>
        <w:rPr>
          <w:rFonts w:ascii="宋体" w:hAnsi="宋体" w:eastAsia="宋体"/>
          <w:sz w:val="24"/>
          <w:szCs w:val="24"/>
        </w:rPr>
      </w:pPr>
      <w:r>
        <w:rPr>
          <w:rFonts w:hint="eastAsia" w:ascii="宋体" w:hAnsi="宋体" w:eastAsia="宋体"/>
          <w:sz w:val="24"/>
          <w:szCs w:val="24"/>
        </w:rPr>
        <w:t>1、从投标文件接收截止之日算起，</w:t>
      </w:r>
      <w:r>
        <w:rPr>
          <w:rFonts w:hint="eastAsia" w:ascii="宋体" w:hAnsi="宋体" w:eastAsia="宋体"/>
          <w:sz w:val="24"/>
          <w:szCs w:val="24"/>
          <w:u w:val="single"/>
        </w:rPr>
        <w:t>60</w:t>
      </w:r>
      <w:r>
        <w:rPr>
          <w:rFonts w:hint="eastAsia" w:ascii="宋体" w:hAnsi="宋体" w:eastAsia="宋体"/>
          <w:sz w:val="24"/>
          <w:szCs w:val="24"/>
        </w:rPr>
        <w:t>个“日历天”内投标书应保持有效。有效期短于这个规定期限的，投标将被拒绝。</w:t>
      </w:r>
    </w:p>
    <w:p>
      <w:pPr>
        <w:snapToGrid w:val="0"/>
        <w:spacing w:line="360" w:lineRule="auto"/>
        <w:ind w:firstLine="470" w:firstLineChars="196"/>
        <w:outlineLvl w:val="1"/>
        <w:rPr>
          <w:rFonts w:ascii="宋体" w:hAnsi="宋体" w:eastAsia="宋体"/>
          <w:sz w:val="24"/>
          <w:szCs w:val="24"/>
        </w:rPr>
      </w:pPr>
      <w:r>
        <w:rPr>
          <w:rFonts w:hint="eastAsia" w:ascii="宋体" w:hAnsi="宋体" w:eastAsia="宋体"/>
          <w:sz w:val="24"/>
          <w:szCs w:val="24"/>
        </w:rPr>
        <w:t>2、在特殊情况下，采购代理机构可与投标人协商延长投标书的有效期。这种要求和答复都应以书面、传真、或电报的形式进行。同意延长有效期的投标人不能修改投标文件，拒绝接受延期要求的投标人的投标书将被拒绝。</w:t>
      </w:r>
    </w:p>
    <w:p>
      <w:pPr>
        <w:spacing w:line="360" w:lineRule="auto"/>
        <w:ind w:firstLine="496" w:firstLineChars="206"/>
        <w:outlineLvl w:val="1"/>
        <w:rPr>
          <w:rFonts w:ascii="宋体" w:hAnsi="宋体" w:eastAsia="宋体" w:cs="宋体"/>
          <w:b/>
          <w:bCs/>
          <w:sz w:val="24"/>
          <w:szCs w:val="24"/>
        </w:rPr>
      </w:pPr>
      <w:r>
        <w:rPr>
          <w:rFonts w:hint="eastAsia" w:ascii="宋体" w:hAnsi="宋体" w:eastAsia="宋体" w:cs="宋体"/>
          <w:b/>
          <w:bCs/>
          <w:sz w:val="24"/>
          <w:szCs w:val="24"/>
        </w:rPr>
        <w:t>八、投标报价</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1、本项目不接受任何有选择的报价。</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2、投标报价均以人民币为报价的币种。</w:t>
      </w:r>
    </w:p>
    <w:p>
      <w:pPr>
        <w:spacing w:line="360" w:lineRule="auto"/>
        <w:ind w:left="536" w:leftChars="206"/>
        <w:rPr>
          <w:rFonts w:ascii="宋体" w:hAnsi="宋体" w:eastAsia="宋体" w:cs="宋体"/>
          <w:sz w:val="24"/>
          <w:szCs w:val="24"/>
        </w:rPr>
      </w:pPr>
      <w:r>
        <w:rPr>
          <w:rFonts w:hint="eastAsia" w:ascii="宋体" w:hAnsi="宋体" w:eastAsia="宋体" w:cs="宋体"/>
          <w:sz w:val="24"/>
          <w:szCs w:val="24"/>
        </w:rPr>
        <w:t>3、报价表必须加盖投标人公章且必须经法定代表人或被授权人签字或盖章。</w:t>
      </w:r>
      <w:bookmarkStart w:id="3" w:name="_Toc363573855"/>
      <w:r>
        <w:rPr>
          <w:rFonts w:ascii="宋体" w:hAnsi="宋体" w:eastAsia="宋体"/>
          <w:sz w:val="24"/>
          <w:szCs w:val="24"/>
        </w:rPr>
        <w:t>报价出现前后不一致的，按照下列规定修正：</w:t>
      </w:r>
    </w:p>
    <w:p>
      <w:pPr>
        <w:spacing w:line="360" w:lineRule="auto"/>
        <w:ind w:firstLine="494" w:firstLineChars="206"/>
        <w:rPr>
          <w:rFonts w:ascii="宋体" w:hAnsi="宋体" w:eastAsia="宋体" w:cs="宋体"/>
          <w:sz w:val="24"/>
          <w:szCs w:val="24"/>
        </w:rPr>
      </w:pPr>
      <w:r>
        <w:rPr>
          <w:rFonts w:ascii="宋体" w:hAnsi="宋体" w:eastAsia="宋体"/>
          <w:sz w:val="24"/>
          <w:szCs w:val="24"/>
        </w:rPr>
        <w:t>（1）投标文件中开标一览表（</w:t>
      </w:r>
      <w:r>
        <w:rPr>
          <w:rFonts w:hint="eastAsia" w:ascii="宋体" w:hAnsi="宋体" w:eastAsia="宋体"/>
          <w:sz w:val="24"/>
          <w:szCs w:val="24"/>
        </w:rPr>
        <w:t>报价表</w:t>
      </w:r>
      <w:r>
        <w:rPr>
          <w:rFonts w:ascii="宋体" w:hAnsi="宋体" w:eastAsia="宋体"/>
          <w:sz w:val="24"/>
          <w:szCs w:val="24"/>
        </w:rPr>
        <w:t>）内容与投标文件中相应内容不一致的，以开标一览表（</w:t>
      </w:r>
      <w:r>
        <w:rPr>
          <w:rFonts w:hint="eastAsia" w:ascii="宋体" w:hAnsi="宋体" w:eastAsia="宋体"/>
          <w:sz w:val="24"/>
          <w:szCs w:val="24"/>
        </w:rPr>
        <w:t>报价表</w:t>
      </w:r>
      <w:r>
        <w:rPr>
          <w:rFonts w:ascii="宋体" w:hAnsi="宋体" w:eastAsia="宋体"/>
          <w:sz w:val="24"/>
          <w:szCs w:val="24"/>
        </w:rPr>
        <w:t>）为准；</w:t>
      </w:r>
    </w:p>
    <w:p>
      <w:pPr>
        <w:spacing w:line="360" w:lineRule="auto"/>
        <w:ind w:firstLine="494" w:firstLineChars="206"/>
        <w:rPr>
          <w:rFonts w:ascii="宋体" w:hAnsi="宋体" w:eastAsia="宋体" w:cs="宋体"/>
          <w:sz w:val="24"/>
          <w:szCs w:val="24"/>
        </w:rPr>
      </w:pPr>
      <w:r>
        <w:rPr>
          <w:rFonts w:ascii="宋体" w:hAnsi="宋体" w:eastAsia="宋体"/>
          <w:sz w:val="24"/>
          <w:szCs w:val="24"/>
        </w:rPr>
        <w:t>（2）大写金额和小写金额不一致的，以大写金额为准；</w:t>
      </w:r>
    </w:p>
    <w:p>
      <w:pPr>
        <w:spacing w:line="360" w:lineRule="auto"/>
        <w:ind w:firstLine="494" w:firstLineChars="206"/>
        <w:rPr>
          <w:rFonts w:ascii="宋体" w:hAnsi="宋体" w:eastAsia="宋体" w:cs="宋体"/>
          <w:sz w:val="24"/>
          <w:szCs w:val="24"/>
        </w:rPr>
      </w:pPr>
      <w:r>
        <w:rPr>
          <w:rFonts w:ascii="宋体" w:hAnsi="宋体" w:eastAsia="宋体"/>
          <w:sz w:val="24"/>
          <w:szCs w:val="24"/>
        </w:rPr>
        <w:t>（3）单价金额小数点或者百分比有明显错位的，以开标一览表的总价为准，并修改单价；</w:t>
      </w:r>
    </w:p>
    <w:p>
      <w:pPr>
        <w:spacing w:line="360" w:lineRule="auto"/>
        <w:ind w:firstLine="494" w:firstLineChars="206"/>
        <w:rPr>
          <w:rFonts w:ascii="宋体" w:hAnsi="宋体" w:eastAsia="宋体" w:cs="宋体"/>
          <w:sz w:val="24"/>
          <w:szCs w:val="24"/>
        </w:rPr>
      </w:pPr>
      <w:r>
        <w:rPr>
          <w:rFonts w:ascii="宋体" w:hAnsi="宋体" w:eastAsia="宋体"/>
          <w:sz w:val="24"/>
          <w:szCs w:val="24"/>
        </w:rPr>
        <w:t>（4）总价金额与按单价汇总金额不一致的，以单价金额计算结果为准。</w:t>
      </w:r>
    </w:p>
    <w:p>
      <w:pPr>
        <w:spacing w:line="360" w:lineRule="auto"/>
        <w:ind w:firstLine="573"/>
        <w:rPr>
          <w:rFonts w:ascii="宋体" w:hAnsi="宋体" w:eastAsia="宋体" w:cs="宋体"/>
          <w:b/>
          <w:sz w:val="24"/>
          <w:szCs w:val="24"/>
        </w:rPr>
      </w:pPr>
      <w:r>
        <w:rPr>
          <w:rFonts w:hint="eastAsia" w:ascii="宋体" w:hAnsi="宋体" w:eastAsia="宋体" w:cs="宋体"/>
          <w:b/>
          <w:sz w:val="24"/>
          <w:szCs w:val="24"/>
        </w:rPr>
        <w:t>4、投标报价（以人民币计价）应包括27台电梯一年的日常维保养护费， 200元以下的电梯配件的更换、维修费以及企业利润、税金等和其他与本项目有关的其它所有一切费用。</w:t>
      </w:r>
    </w:p>
    <w:p>
      <w:pPr>
        <w:spacing w:line="360" w:lineRule="auto"/>
        <w:ind w:firstLine="573"/>
        <w:rPr>
          <w:rFonts w:ascii="宋体" w:hAnsi="宋体" w:eastAsia="宋体" w:cs="宋体"/>
          <w:sz w:val="24"/>
          <w:szCs w:val="24"/>
        </w:rPr>
      </w:pPr>
      <w:r>
        <w:rPr>
          <w:rFonts w:hint="eastAsia" w:ascii="宋体" w:hAnsi="宋体" w:eastAsia="宋体" w:cs="宋体"/>
          <w:sz w:val="24"/>
          <w:szCs w:val="24"/>
        </w:rPr>
        <w:t>5、投标人应按本招标文件提供的投标须知、合同条款、服务方要求等招标文件及现场情况等计算投标报价，不得哄抬单价或恶性压价；除非招标文件中另有规定，投标人所报的价格应包括完成所需进行的一切工作内容的费用摊入。</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6、投标人应按照“投标文件格式”之开标一览表和投标报价明细表的格式填写投标报价（含税价），未填报的项目和报价将被认为已含在其他项目和报价中。</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7、符合合同规定的全部费用和利润都应包括在报价总表和投标报价明细表中。</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8、一次报定的投标报价为成交价，同时，中标人的成交价在合同实施期间不因市场变化因素而变动。</w:t>
      </w:r>
    </w:p>
    <w:p>
      <w:pPr>
        <w:snapToGrid w:val="0"/>
        <w:spacing w:line="360" w:lineRule="auto"/>
        <w:ind w:firstLine="496" w:firstLineChars="206"/>
        <w:rPr>
          <w:rFonts w:ascii="宋体" w:hAnsi="宋体" w:eastAsia="宋体" w:cs="宋体"/>
          <w:b/>
          <w:sz w:val="24"/>
          <w:szCs w:val="24"/>
        </w:rPr>
      </w:pPr>
      <w:r>
        <w:rPr>
          <w:rFonts w:hint="eastAsia" w:ascii="宋体" w:hAnsi="宋体" w:eastAsia="宋体" w:cs="宋体"/>
          <w:b/>
          <w:sz w:val="24"/>
          <w:szCs w:val="24"/>
        </w:rPr>
        <w:t>9、因不可抗力因素（包含国家或省、市政策调整等原因）造成增减电梯维保数量、减少合同期限的，采购人概不负责，投标供应商在投标报价时考虑此风险。</w:t>
      </w:r>
    </w:p>
    <w:p>
      <w:pPr>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九、投标费用</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投标人应承担其编制投标文件以及递交投标文件等参与本工程投标所涉及的一切费用。无论投标结果如何，采购人对上述费用不负任何责任。</w:t>
      </w:r>
    </w:p>
    <w:p>
      <w:pPr>
        <w:snapToGrid w:val="0"/>
        <w:spacing w:line="360" w:lineRule="auto"/>
        <w:ind w:firstLine="494" w:firstLineChars="206"/>
        <w:rPr>
          <w:rFonts w:ascii="宋体" w:hAnsi="宋体" w:eastAsia="宋体" w:cs="宋体"/>
          <w:bCs/>
          <w:sz w:val="24"/>
          <w:szCs w:val="24"/>
        </w:rPr>
      </w:pPr>
      <w:r>
        <w:rPr>
          <w:rFonts w:hint="eastAsia" w:ascii="宋体" w:hAnsi="宋体" w:eastAsia="宋体" w:cs="宋体"/>
          <w:bCs/>
          <w:sz w:val="24"/>
          <w:szCs w:val="24"/>
        </w:rPr>
        <w:t>2、本工程招标文件等费用为人民币300元（售后不退），在递交投标文件时同时交纳。无论投标人是否中标，该费用概不退还。若不符合此要求，其投标文件将被拒绝。</w:t>
      </w:r>
    </w:p>
    <w:p>
      <w:pPr>
        <w:snapToGrid w:val="0"/>
        <w:spacing w:line="360" w:lineRule="auto"/>
        <w:ind w:firstLine="494" w:firstLineChars="206"/>
        <w:rPr>
          <w:rFonts w:ascii="宋体" w:hAnsi="宋体" w:eastAsia="宋体" w:cs="宋体"/>
          <w:b/>
          <w:bCs/>
          <w:sz w:val="24"/>
          <w:szCs w:val="24"/>
        </w:rPr>
      </w:pPr>
      <w:r>
        <w:rPr>
          <w:rFonts w:hint="eastAsia" w:ascii="宋体" w:hAnsi="宋体" w:eastAsia="宋体" w:cs="宋体"/>
          <w:bCs/>
          <w:sz w:val="24"/>
          <w:szCs w:val="24"/>
        </w:rPr>
        <w:t>3、中标人领取成交通知书前需缴付招标代理服务费及专家评审费。招标代理服务费为人民币3200元，专家评审费按实结算。</w:t>
      </w:r>
      <w:r>
        <w:rPr>
          <w:rFonts w:hint="eastAsia" w:ascii="宋体" w:hAnsi="宋体" w:eastAsia="宋体" w:cs="宋体"/>
          <w:b/>
          <w:bCs/>
          <w:sz w:val="24"/>
          <w:szCs w:val="24"/>
        </w:rPr>
        <w:t>投标人自行考虑包含在投标总价内的该项费用及风险并将其综合在单价内，不得单列。</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十、投标文件递交时间及地址</w:t>
      </w:r>
    </w:p>
    <w:p>
      <w:pPr>
        <w:snapToGrid w:val="0"/>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投标人必须在规定的时间将投标文件送达指定地点，采购人拒绝接收在截止时间后递交的投标文件。</w:t>
      </w:r>
    </w:p>
    <w:p>
      <w:pPr>
        <w:snapToGrid w:val="0"/>
        <w:spacing w:line="360" w:lineRule="auto"/>
        <w:ind w:firstLine="496" w:firstLineChars="206"/>
        <w:outlineLvl w:val="1"/>
        <w:rPr>
          <w:rFonts w:ascii="宋体" w:hAnsi="宋体" w:eastAsia="宋体" w:cs="宋体"/>
          <w:b/>
          <w:bCs/>
          <w:sz w:val="24"/>
          <w:szCs w:val="24"/>
        </w:rPr>
      </w:pPr>
      <w:r>
        <w:rPr>
          <w:rFonts w:hint="eastAsia" w:ascii="宋体" w:hAnsi="宋体" w:eastAsia="宋体" w:cs="宋体"/>
          <w:b/>
          <w:sz w:val="24"/>
          <w:szCs w:val="24"/>
        </w:rPr>
        <w:t>十一、</w:t>
      </w:r>
      <w:r>
        <w:rPr>
          <w:rFonts w:hint="eastAsia" w:ascii="宋体" w:hAnsi="宋体" w:eastAsia="宋体" w:cs="宋体"/>
          <w:b/>
          <w:bCs/>
          <w:sz w:val="24"/>
          <w:szCs w:val="24"/>
        </w:rPr>
        <w:t>履约保证金</w:t>
      </w:r>
    </w:p>
    <w:p>
      <w:pPr>
        <w:snapToGrid w:val="0"/>
        <w:spacing w:line="360" w:lineRule="auto"/>
        <w:ind w:firstLine="494" w:firstLineChars="206"/>
        <w:outlineLvl w:val="1"/>
        <w:rPr>
          <w:rFonts w:ascii="宋体" w:hAnsi="宋体" w:eastAsia="宋体"/>
          <w:sz w:val="24"/>
          <w:szCs w:val="24"/>
        </w:rPr>
      </w:pPr>
      <w:r>
        <w:rPr>
          <w:rFonts w:hint="eastAsia" w:ascii="宋体" w:hAnsi="宋体" w:eastAsia="宋体" w:cs="宋体"/>
          <w:bCs/>
          <w:sz w:val="24"/>
          <w:szCs w:val="24"/>
        </w:rPr>
        <w:t>1、</w:t>
      </w:r>
      <w:r>
        <w:rPr>
          <w:rFonts w:hint="eastAsia" w:ascii="宋体" w:hAnsi="宋体" w:eastAsia="宋体"/>
          <w:sz w:val="24"/>
          <w:szCs w:val="24"/>
        </w:rPr>
        <w:t>本项目成交后的履约保证金为项目中标价的</w:t>
      </w:r>
      <w:r>
        <w:rPr>
          <w:rFonts w:hint="eastAsia" w:ascii="宋体" w:hAnsi="宋体" w:eastAsia="宋体"/>
          <w:sz w:val="24"/>
          <w:szCs w:val="24"/>
          <w:u w:val="single"/>
        </w:rPr>
        <w:t xml:space="preserve"> 5% </w:t>
      </w:r>
      <w:r>
        <w:rPr>
          <w:rFonts w:hint="eastAsia" w:ascii="宋体" w:hAnsi="宋体" w:eastAsia="宋体"/>
          <w:sz w:val="24"/>
          <w:szCs w:val="24"/>
        </w:rPr>
        <w:t>，递交方式：</w:t>
      </w:r>
      <w:r>
        <w:rPr>
          <w:rFonts w:hint="eastAsia" w:ascii="宋体" w:hAnsi="宋体" w:eastAsia="宋体"/>
          <w:sz w:val="24"/>
          <w:szCs w:val="24"/>
          <w:u w:val="single"/>
        </w:rPr>
        <w:t>银行转账</w:t>
      </w:r>
      <w:r>
        <w:rPr>
          <w:rFonts w:hint="eastAsia" w:ascii="宋体" w:hAnsi="宋体" w:eastAsia="宋体"/>
          <w:sz w:val="24"/>
          <w:szCs w:val="24"/>
        </w:rPr>
        <w:t>。</w:t>
      </w:r>
    </w:p>
    <w:p>
      <w:pPr>
        <w:spacing w:line="360" w:lineRule="auto"/>
        <w:ind w:firstLine="424" w:firstLineChars="177"/>
        <w:rPr>
          <w:rFonts w:ascii="宋体" w:hAnsi="宋体" w:eastAsia="宋体" w:cs="宋体"/>
          <w:bCs/>
          <w:sz w:val="24"/>
          <w:szCs w:val="24"/>
        </w:rPr>
      </w:pPr>
      <w:r>
        <w:rPr>
          <w:rFonts w:hint="eastAsia" w:ascii="宋体" w:hAnsi="宋体" w:eastAsia="宋体" w:cs="宋体"/>
          <w:bCs/>
          <w:sz w:val="24"/>
          <w:szCs w:val="24"/>
        </w:rPr>
        <w:t>户名: 南通农副产品物流有限公司</w:t>
      </w:r>
    </w:p>
    <w:p>
      <w:pPr>
        <w:spacing w:line="360" w:lineRule="auto"/>
        <w:ind w:firstLine="424" w:firstLineChars="177"/>
        <w:rPr>
          <w:rFonts w:ascii="宋体" w:hAnsi="宋体" w:eastAsia="宋体" w:cs="宋体"/>
          <w:bCs/>
          <w:sz w:val="24"/>
          <w:szCs w:val="24"/>
        </w:rPr>
      </w:pPr>
      <w:r>
        <w:rPr>
          <w:rFonts w:hint="eastAsia" w:ascii="宋体" w:hAnsi="宋体" w:eastAsia="宋体" w:cs="宋体"/>
          <w:bCs/>
          <w:sz w:val="24"/>
          <w:szCs w:val="24"/>
        </w:rPr>
        <w:t>开户行: 工行南通文华支行</w:t>
      </w:r>
    </w:p>
    <w:p>
      <w:pPr>
        <w:spacing w:line="360" w:lineRule="auto"/>
        <w:ind w:firstLine="424" w:firstLineChars="177"/>
        <w:rPr>
          <w:rFonts w:ascii="Calibri" w:hAnsi="Calibri" w:eastAsia="宋体"/>
          <w:sz w:val="21"/>
          <w:szCs w:val="22"/>
        </w:rPr>
      </w:pPr>
      <w:r>
        <w:rPr>
          <w:rFonts w:hint="eastAsia" w:ascii="宋体" w:hAnsi="宋体" w:eastAsia="宋体" w:cs="宋体"/>
          <w:bCs/>
          <w:sz w:val="24"/>
          <w:szCs w:val="24"/>
        </w:rPr>
        <w:t>账号: 1111822609000067591</w:t>
      </w:r>
    </w:p>
    <w:p>
      <w:pPr>
        <w:snapToGrid w:val="0"/>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sz w:val="24"/>
          <w:szCs w:val="24"/>
        </w:rPr>
        <w:t>中标人的履约保证金须在成交通知书发出之日起7日内汇入采购人账户，中标人凭成交通知书、履约保证金缴纳凭证在成交通知书发出后15日内与采购人签订合同。超期或未有协商，则视为自动放弃成交资格。</w:t>
      </w:r>
    </w:p>
    <w:p>
      <w:pPr>
        <w:snapToGrid w:val="0"/>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3、中标人在按要求保质保量的完成该项目合同并通过验收后，采购人凭中标人提交的申请，一次性无息退还该合同项目的履约保证金。</w:t>
      </w:r>
    </w:p>
    <w:p>
      <w:pPr>
        <w:snapToGrid w:val="0"/>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4、由于中标人原因，在签订合同后出现不按合同履行的情况，采购人有权将履约保证金作为违约金，全额不予退还，同时采购人亦有权终止合同，中标人还须承担相应的法律赔偿责任。</w:t>
      </w:r>
    </w:p>
    <w:p>
      <w:pPr>
        <w:snapToGrid w:val="0"/>
        <w:spacing w:line="360" w:lineRule="auto"/>
        <w:ind w:firstLine="496" w:firstLineChars="206"/>
        <w:outlineLvl w:val="1"/>
        <w:rPr>
          <w:rFonts w:ascii="宋体" w:hAnsi="宋体" w:eastAsia="宋体" w:cs="宋体"/>
          <w:b/>
          <w:sz w:val="24"/>
          <w:szCs w:val="24"/>
        </w:rPr>
      </w:pPr>
      <w:r>
        <w:rPr>
          <w:rFonts w:hint="eastAsia" w:ascii="宋体" w:hAnsi="宋体" w:eastAsia="宋体" w:cs="宋体"/>
          <w:b/>
          <w:bCs/>
          <w:sz w:val="24"/>
          <w:szCs w:val="24"/>
        </w:rPr>
        <w:t>十二、</w:t>
      </w:r>
      <w:r>
        <w:rPr>
          <w:rFonts w:hint="eastAsia" w:ascii="宋体" w:hAnsi="宋体" w:eastAsia="宋体" w:cs="宋体"/>
          <w:b/>
          <w:sz w:val="24"/>
          <w:szCs w:val="24"/>
        </w:rPr>
        <w:t>未尽事宜</w:t>
      </w:r>
    </w:p>
    <w:p>
      <w:pPr>
        <w:snapToGrid w:val="0"/>
        <w:spacing w:line="360" w:lineRule="auto"/>
        <w:ind w:firstLine="480" w:firstLineChars="200"/>
        <w:jc w:val="left"/>
        <w:rPr>
          <w:rFonts w:ascii="宋体" w:hAnsi="宋体" w:eastAsia="宋体" w:cs="宋体"/>
          <w:b/>
          <w:w w:val="80"/>
          <w:sz w:val="24"/>
          <w:szCs w:val="24"/>
        </w:rPr>
        <w:sectPr>
          <w:pgSz w:w="11906" w:h="16838"/>
          <w:pgMar w:top="1440" w:right="1646" w:bottom="1440" w:left="1800" w:header="851" w:footer="1588" w:gutter="0"/>
          <w:cols w:space="720" w:num="1"/>
          <w:titlePg/>
          <w:docGrid w:linePitch="312" w:charSpace="0"/>
        </w:sectPr>
      </w:pPr>
      <w:r>
        <w:rPr>
          <w:rFonts w:hint="eastAsia" w:ascii="宋体" w:hAnsi="宋体" w:eastAsia="宋体" w:cs="宋体"/>
          <w:sz w:val="24"/>
          <w:szCs w:val="24"/>
        </w:rPr>
        <w:t>按有关的法律法规的规定执行</w:t>
      </w:r>
      <w:bookmarkEnd w:id="3"/>
      <w:bookmarkStart w:id="4" w:name="_Toc13543213"/>
      <w:r>
        <w:rPr>
          <w:rFonts w:hint="eastAsia" w:ascii="宋体" w:hAnsi="宋体" w:eastAsia="宋体" w:cs="宋体"/>
          <w:sz w:val="24"/>
          <w:szCs w:val="24"/>
        </w:rPr>
        <w:t>。</w:t>
      </w:r>
    </w:p>
    <w:p>
      <w:pPr>
        <w:widowControl/>
        <w:jc w:val="center"/>
        <w:rPr>
          <w:rFonts w:ascii="宋体" w:hAnsi="宋体" w:eastAsia="宋体" w:cs="宋体"/>
          <w:b/>
          <w:w w:val="80"/>
          <w:sz w:val="32"/>
          <w:szCs w:val="32"/>
        </w:rPr>
      </w:pPr>
      <w:r>
        <w:rPr>
          <w:rFonts w:hint="eastAsia" w:ascii="宋体" w:hAnsi="宋体" w:eastAsia="宋体" w:cs="宋体"/>
          <w:b/>
          <w:w w:val="80"/>
          <w:sz w:val="32"/>
          <w:szCs w:val="32"/>
        </w:rPr>
        <w:t>第三部分  项目需求</w:t>
      </w:r>
    </w:p>
    <w:p>
      <w:pPr>
        <w:widowControl/>
        <w:jc w:val="center"/>
        <w:rPr>
          <w:rFonts w:ascii="宋体" w:hAnsi="宋体" w:eastAsia="宋体" w:cs="宋体"/>
          <w:b/>
          <w:kern w:val="0"/>
          <w:sz w:val="24"/>
          <w:szCs w:val="24"/>
          <w:lang w:bidi="en-US"/>
        </w:rPr>
      </w:pPr>
    </w:p>
    <w:p>
      <w:pPr>
        <w:spacing w:line="360" w:lineRule="auto"/>
        <w:rPr>
          <w:rFonts w:ascii="宋体" w:hAnsi="宋体" w:eastAsia="宋体"/>
          <w:b/>
          <w:sz w:val="24"/>
          <w:szCs w:val="24"/>
        </w:rPr>
      </w:pPr>
      <w:r>
        <w:rPr>
          <w:rFonts w:hint="eastAsia" w:ascii="宋体" w:hAnsi="宋体" w:eastAsia="宋体"/>
          <w:b/>
          <w:sz w:val="24"/>
          <w:szCs w:val="24"/>
        </w:rPr>
        <w:t>一、招标范围及内容</w:t>
      </w:r>
    </w:p>
    <w:p>
      <w:pPr>
        <w:pStyle w:val="121"/>
        <w:spacing w:line="360" w:lineRule="auto"/>
        <w:ind w:firstLine="480"/>
        <w:rPr>
          <w:rFonts w:ascii="宋体" w:hAnsi="宋体" w:cs="宋体"/>
          <w:sz w:val="24"/>
        </w:rPr>
      </w:pPr>
      <w:r>
        <w:rPr>
          <w:rFonts w:hint="eastAsia" w:ascii="宋体" w:hAnsi="宋体"/>
          <w:sz w:val="24"/>
        </w:rPr>
        <w:t>1、本项目服务范围包含但不限于：电梯机房、电梯轿厢、电梯底坑，电梯井道等。</w:t>
      </w:r>
      <w:r>
        <w:rPr>
          <w:rFonts w:hint="eastAsia" w:ascii="宋体" w:hAnsi="宋体" w:cs="宋体"/>
          <w:sz w:val="24"/>
        </w:rPr>
        <w:t>维保内容包含电梯日常维护保养，电梯困人的紧急救援，电梯故障的及时维修，电梯年检的通过（不含年检费用）等。</w:t>
      </w:r>
    </w:p>
    <w:p>
      <w:pPr>
        <w:pStyle w:val="121"/>
        <w:spacing w:line="360" w:lineRule="auto"/>
        <w:ind w:firstLine="480"/>
        <w:rPr>
          <w:rFonts w:ascii="宋体" w:hAnsi="宋体"/>
          <w:sz w:val="24"/>
        </w:rPr>
      </w:pPr>
      <w:r>
        <w:rPr>
          <w:rFonts w:hint="eastAsia" w:ascii="宋体" w:hAnsi="宋体" w:cs="宋体"/>
          <w:sz w:val="24"/>
        </w:rPr>
        <w:t>2、</w:t>
      </w:r>
      <w:r>
        <w:rPr>
          <w:rFonts w:hint="eastAsia" w:ascii="宋体" w:hAnsi="宋体"/>
          <w:sz w:val="24"/>
        </w:rPr>
        <w:t>南通农副产品物流有限公司电梯日常维护保养，需维保电梯27台，具体维保清单如下：</w:t>
      </w:r>
    </w:p>
    <w:tbl>
      <w:tblPr>
        <w:tblStyle w:val="141"/>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218"/>
        <w:gridCol w:w="924"/>
        <w:gridCol w:w="1009"/>
        <w:gridCol w:w="1679"/>
        <w:gridCol w:w="1138"/>
        <w:gridCol w:w="850"/>
        <w:gridCol w:w="1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场地</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电梯类型</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电梯 品牌</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电梯型号</w:t>
            </w:r>
          </w:p>
        </w:tc>
        <w:tc>
          <w:tcPr>
            <w:tcW w:w="1138" w:type="dxa"/>
            <w:vAlign w:val="center"/>
          </w:tcPr>
          <w:p>
            <w:pPr>
              <w:spacing w:line="360" w:lineRule="auto"/>
              <w:ind w:left="240" w:hanging="240" w:hangingChars="100"/>
              <w:jc w:val="center"/>
              <w:rPr>
                <w:rFonts w:ascii="宋体" w:hAnsi="宋体" w:eastAsia="宋体"/>
                <w:sz w:val="24"/>
                <w:szCs w:val="24"/>
              </w:rPr>
            </w:pPr>
            <w:r>
              <w:rPr>
                <w:rFonts w:hint="eastAsia" w:ascii="宋体" w:hAnsi="宋体" w:eastAsia="宋体"/>
                <w:sz w:val="24"/>
                <w:szCs w:val="24"/>
              </w:rPr>
              <w:t>载重量</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数量</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维保期限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蔬菜大厅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水果大厅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水产大厅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4</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干货大厅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continue"/>
            <w:vAlign w:val="center"/>
          </w:tcPr>
          <w:p>
            <w:pPr>
              <w:spacing w:line="360" w:lineRule="auto"/>
              <w:jc w:val="center"/>
              <w:rPr>
                <w:rFonts w:ascii="宋体" w:hAnsi="宋体" w:eastAsia="宋体"/>
                <w:sz w:val="24"/>
                <w:szCs w:val="24"/>
              </w:rPr>
            </w:pP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干货大厅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粮油大厅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三菱</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HOPE-IIG</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6</w:t>
            </w:r>
          </w:p>
        </w:tc>
        <w:tc>
          <w:tcPr>
            <w:tcW w:w="1218"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展销楼</w:t>
            </w:r>
          </w:p>
        </w:tc>
        <w:tc>
          <w:tcPr>
            <w:tcW w:w="924"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客梯</w:t>
            </w:r>
          </w:p>
        </w:tc>
        <w:tc>
          <w:tcPr>
            <w:tcW w:w="1009"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奥的斯</w:t>
            </w:r>
          </w:p>
        </w:tc>
        <w:tc>
          <w:tcPr>
            <w:tcW w:w="1679"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GeN2Comfort</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1275kg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2台</w:t>
            </w:r>
          </w:p>
        </w:tc>
        <w:tc>
          <w:tcPr>
            <w:tcW w:w="1825"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continue"/>
            <w:vAlign w:val="center"/>
          </w:tcPr>
          <w:p>
            <w:pPr>
              <w:spacing w:line="360" w:lineRule="auto"/>
              <w:jc w:val="center"/>
              <w:rPr>
                <w:rFonts w:ascii="宋体" w:hAnsi="宋体" w:eastAsia="宋体"/>
                <w:sz w:val="24"/>
                <w:szCs w:val="24"/>
              </w:rPr>
            </w:pPr>
          </w:p>
        </w:tc>
        <w:tc>
          <w:tcPr>
            <w:tcW w:w="1218" w:type="dxa"/>
            <w:vMerge w:val="continue"/>
            <w:vAlign w:val="center"/>
          </w:tcPr>
          <w:p>
            <w:pPr>
              <w:spacing w:line="360" w:lineRule="auto"/>
              <w:jc w:val="center"/>
              <w:rPr>
                <w:rFonts w:ascii="宋体" w:hAnsi="宋体" w:eastAsia="宋体"/>
                <w:sz w:val="24"/>
                <w:szCs w:val="24"/>
              </w:rPr>
            </w:pPr>
          </w:p>
        </w:tc>
        <w:tc>
          <w:tcPr>
            <w:tcW w:w="924" w:type="dxa"/>
            <w:vMerge w:val="continue"/>
            <w:vAlign w:val="center"/>
          </w:tcPr>
          <w:p>
            <w:pPr>
              <w:spacing w:line="360" w:lineRule="auto"/>
              <w:jc w:val="center"/>
              <w:rPr>
                <w:rFonts w:ascii="宋体" w:hAnsi="宋体" w:eastAsia="宋体"/>
                <w:sz w:val="24"/>
                <w:szCs w:val="24"/>
              </w:rPr>
            </w:pPr>
          </w:p>
        </w:tc>
        <w:tc>
          <w:tcPr>
            <w:tcW w:w="1009" w:type="dxa"/>
            <w:vMerge w:val="continue"/>
            <w:vAlign w:val="center"/>
          </w:tcPr>
          <w:p>
            <w:pPr>
              <w:spacing w:line="360" w:lineRule="auto"/>
              <w:jc w:val="center"/>
              <w:rPr>
                <w:rFonts w:ascii="宋体" w:hAnsi="宋体" w:eastAsia="宋体"/>
                <w:sz w:val="24"/>
                <w:szCs w:val="24"/>
              </w:rPr>
            </w:pPr>
          </w:p>
        </w:tc>
        <w:tc>
          <w:tcPr>
            <w:tcW w:w="1679" w:type="dxa"/>
            <w:vMerge w:val="continue"/>
            <w:vAlign w:val="center"/>
          </w:tcPr>
          <w:p>
            <w:pPr>
              <w:spacing w:line="360" w:lineRule="auto"/>
              <w:jc w:val="center"/>
              <w:rPr>
                <w:rFonts w:ascii="宋体" w:hAnsi="宋体" w:eastAsia="宋体"/>
                <w:sz w:val="24"/>
                <w:szCs w:val="24"/>
              </w:rPr>
            </w:pP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1台</w:t>
            </w:r>
          </w:p>
        </w:tc>
        <w:tc>
          <w:tcPr>
            <w:tcW w:w="1825" w:type="dxa"/>
            <w:vMerge w:val="continue"/>
            <w:vAlign w:val="center"/>
          </w:tcPr>
          <w:p>
            <w:pPr>
              <w:spacing w:line="360" w:lineRule="auto"/>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7</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商务楼</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客梯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奥的斯</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GeN2Comfort</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1275kg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bl>
    <w:p>
      <w:pPr>
        <w:spacing w:line="360" w:lineRule="auto"/>
        <w:rPr>
          <w:rFonts w:ascii="宋体" w:hAnsi="宋体" w:eastAsia="宋体"/>
          <w:b/>
          <w:sz w:val="24"/>
          <w:szCs w:val="24"/>
        </w:rPr>
      </w:pPr>
      <w:r>
        <w:rPr>
          <w:rFonts w:hint="eastAsia" w:ascii="宋体" w:hAnsi="宋体" w:eastAsia="宋体"/>
          <w:b/>
          <w:sz w:val="24"/>
          <w:szCs w:val="24"/>
        </w:rPr>
        <w:t>二、服务内容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（一）电梯维保：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1、日常维修保养、检修和紧急救援服务。24小时驻场人员不少于2人。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2、日常维保的项目：按《电梯维护保养规则（TSG TSGT5002-2017）》中要求完成半月、季度、半年、年度保养项目，向使用单位出具年度自行检查记录或报告，并积极配合政府相关部门的年度检验、限速器及载重等有关项目的试验。如年检不合格维保单位需承担相关的复检费用。</w:t>
      </w:r>
    </w:p>
    <w:p>
      <w:pPr>
        <w:spacing w:line="360" w:lineRule="auto"/>
        <w:rPr>
          <w:rFonts w:ascii="宋体" w:hAnsi="宋体" w:eastAsia="宋体"/>
          <w:sz w:val="24"/>
          <w:szCs w:val="24"/>
        </w:rPr>
      </w:pPr>
      <w:r>
        <w:rPr>
          <w:rFonts w:hint="eastAsia" w:ascii="宋体" w:hAnsi="宋体" w:eastAsia="宋体"/>
          <w:b/>
          <w:sz w:val="24"/>
          <w:szCs w:val="24"/>
        </w:rPr>
        <w:t>三、电梯维保方式</w:t>
      </w:r>
      <w:r>
        <w:rPr>
          <w:rFonts w:hint="eastAsia" w:ascii="宋体" w:hAnsi="宋体" w:eastAsia="宋体"/>
          <w:sz w:val="24"/>
          <w:szCs w:val="24"/>
        </w:rPr>
        <w:t>：</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1、</w:t>
      </w:r>
      <w:r>
        <w:rPr>
          <w:rFonts w:hint="eastAsia" w:ascii="宋体" w:hAnsi="宋体" w:eastAsia="宋体"/>
          <w:b/>
          <w:sz w:val="24"/>
          <w:szCs w:val="24"/>
        </w:rPr>
        <w:t>半包（承担200元以下的电梯配件的更换、维修）。维保周期三年。合同一年一签，如果第二年、第三年维保的电梯数量有增减，按中标的报价相应增减合同价。</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2、电梯维修配件清单 （型号：</w:t>
      </w:r>
      <w:r>
        <w:rPr>
          <w:rFonts w:hint="eastAsia" w:ascii="宋体" w:hAnsi="宋体" w:eastAsia="宋体" w:cs="宋体"/>
          <w:b/>
          <w:bCs/>
          <w:color w:val="000000"/>
          <w:kern w:val="0"/>
          <w:sz w:val="22"/>
          <w:szCs w:val="22"/>
        </w:rPr>
        <w:t>三菱5吨/迅达5吨</w:t>
      </w:r>
      <w:r>
        <w:rPr>
          <w:rFonts w:ascii="宋体" w:hAnsi="宋体" w:eastAsia="宋体" w:cs="宋体"/>
          <w:b/>
          <w:bCs/>
          <w:color w:val="000000"/>
          <w:kern w:val="0"/>
          <w:sz w:val="22"/>
          <w:szCs w:val="22"/>
        </w:rPr>
        <w:t>）</w:t>
      </w:r>
    </w:p>
    <w:tbl>
      <w:tblPr>
        <w:tblStyle w:val="55"/>
        <w:tblW w:w="6897" w:type="dxa"/>
        <w:tblInd w:w="94" w:type="dxa"/>
        <w:tblLayout w:type="autofit"/>
        <w:tblCellMar>
          <w:top w:w="0" w:type="dxa"/>
          <w:left w:w="108" w:type="dxa"/>
          <w:bottom w:w="0" w:type="dxa"/>
          <w:right w:w="108" w:type="dxa"/>
        </w:tblCellMar>
      </w:tblPr>
      <w:tblGrid>
        <w:gridCol w:w="1574"/>
        <w:gridCol w:w="5323"/>
      </w:tblGrid>
      <w:tr>
        <w:tblPrEx>
          <w:tblCellMar>
            <w:top w:w="0" w:type="dxa"/>
            <w:left w:w="108" w:type="dxa"/>
            <w:bottom w:w="0" w:type="dxa"/>
            <w:right w:w="108" w:type="dxa"/>
          </w:tblCellMar>
        </w:tblPrEx>
        <w:trPr>
          <w:trHeight w:val="272" w:hRule="atLeast"/>
          <w:tblHeader/>
        </w:trPr>
        <w:tc>
          <w:tcPr>
            <w:tcW w:w="157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532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内容</w:t>
            </w:r>
          </w:p>
        </w:tc>
      </w:tr>
      <w:tr>
        <w:tblPrEx>
          <w:tblCellMar>
            <w:top w:w="0" w:type="dxa"/>
            <w:left w:w="108" w:type="dxa"/>
            <w:bottom w:w="0" w:type="dxa"/>
            <w:right w:w="108" w:type="dxa"/>
          </w:tblCellMar>
        </w:tblPrEx>
        <w:trPr>
          <w:trHeight w:val="285" w:hRule="atLeast"/>
          <w:tblHeader/>
        </w:trPr>
        <w:tc>
          <w:tcPr>
            <w:tcW w:w="157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32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门到位感应器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驱动电源模块</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光幕</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应急电源电池</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三角锁（C2）</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触头P0-Bet.391.146.2156</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触体AIZP</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按钮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滚轮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皮带轮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缓冲圈</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缓冲橡皮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门电动机炭刷</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蜂鸣器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急停开关</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门球</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接触器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门滑块</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滑轮组件（小带轮组件）</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门刀</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门导轮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重锤钢丝绳</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同步钢丝绳</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偏心轮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风扇电容</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门锁弹簧连座</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原装门头</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原装地坎</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厅门门锁</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轿门门锁</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门刀弹簧</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挂板轮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门机皮带</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层门门锁</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外呼板</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厅门门板（整形）</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厅门门板（更换）</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轿门门板（整形）</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轿门门板（更换）</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门板挂板</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门板挂轮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防扒门装置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防扒门支架</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门厅自闭弹簧</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变压器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联动门同步带</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变速箱清理、加油</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电梯主板</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门机变频器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电梯通讯板</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厅门锁</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锁钩组件</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厅门门锁触点、触体</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应急电源电池</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R-继电器模块 230VAC….288-508</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接触器 </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轿厢导靴 4402（3T）</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XD厅门161B门锁左（PB152B）</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操纵厢LOM1.Q接口版</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相序继电器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IGBV200用齿形带</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印板BCM 2.Q</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63</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管状电阻（WBR)</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主开关辅助触点 OA2L11 16A</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65</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V30中分门的重锤组件 用于BT=1000-1100</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66</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双稳态磁开关 型号：KCB-1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限双速梯</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M型呼梯按钮（螺丝固定）</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68</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专业级塑柄受用黄油枪（400cc）-世达 97203</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69</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限速器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70</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缓冲器</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曳引轮</w:t>
            </w:r>
          </w:p>
        </w:tc>
      </w:tr>
      <w:tr>
        <w:tblPrEx>
          <w:tblCellMar>
            <w:top w:w="0" w:type="dxa"/>
            <w:left w:w="108" w:type="dxa"/>
            <w:bottom w:w="0" w:type="dxa"/>
            <w:right w:w="108" w:type="dxa"/>
          </w:tblCellMar>
        </w:tblPrEx>
        <w:trPr>
          <w:trHeight w:val="2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72</w:t>
            </w:r>
          </w:p>
        </w:tc>
        <w:tc>
          <w:tcPr>
            <w:tcW w:w="53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加油装置</w:t>
            </w:r>
          </w:p>
        </w:tc>
      </w:tr>
    </w:tbl>
    <w:p>
      <w:pPr>
        <w:pStyle w:val="5"/>
      </w:pPr>
    </w:p>
    <w:p>
      <w:pPr>
        <w:spacing w:line="360" w:lineRule="auto"/>
        <w:rPr>
          <w:rFonts w:ascii="宋体" w:hAnsi="宋体" w:eastAsia="宋体"/>
          <w:b/>
          <w:sz w:val="24"/>
          <w:szCs w:val="24"/>
        </w:rPr>
      </w:pPr>
      <w:r>
        <w:rPr>
          <w:rFonts w:hint="eastAsia" w:ascii="宋体" w:hAnsi="宋体" w:eastAsia="宋体"/>
          <w:b/>
          <w:sz w:val="24"/>
          <w:szCs w:val="24"/>
        </w:rPr>
        <w:t>四、付款方式：</w:t>
      </w:r>
    </w:p>
    <w:p>
      <w:pPr>
        <w:spacing w:line="360" w:lineRule="auto"/>
        <w:ind w:firstLine="480" w:firstLineChars="200"/>
        <w:rPr>
          <w:rFonts w:ascii="宋体" w:hAnsi="宋体" w:eastAsia="宋体"/>
          <w:color w:val="333333"/>
          <w:sz w:val="24"/>
          <w:szCs w:val="22"/>
        </w:rPr>
      </w:pPr>
      <w:r>
        <w:rPr>
          <w:rFonts w:hint="eastAsia" w:ascii="宋体" w:hAnsi="宋体" w:eastAsia="宋体"/>
          <w:color w:val="333333"/>
          <w:sz w:val="24"/>
          <w:szCs w:val="22"/>
        </w:rPr>
        <w:t>每季度结算一次。每个结算期满后10日内由中标人提供等额服务费增值税发票、并经采购人审核后付款。</w:t>
      </w: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 xml:space="preserve">第四部分  </w:t>
      </w:r>
      <w:bookmarkStart w:id="5" w:name="_Toc182848996"/>
      <w:r>
        <w:rPr>
          <w:rFonts w:hint="eastAsia" w:ascii="宋体" w:hAnsi="宋体" w:eastAsia="宋体" w:cs="宋体"/>
          <w:b/>
          <w:w w:val="80"/>
          <w:sz w:val="32"/>
          <w:szCs w:val="32"/>
        </w:rPr>
        <w:t>评审方法和程序</w:t>
      </w:r>
    </w:p>
    <w:p>
      <w:pPr>
        <w:snapToGrid w:val="0"/>
        <w:spacing w:line="360" w:lineRule="auto"/>
        <w:ind w:firstLine="482" w:firstLineChars="200"/>
        <w:outlineLvl w:val="1"/>
        <w:rPr>
          <w:rFonts w:ascii="宋体" w:hAnsi="宋体" w:eastAsia="宋体"/>
          <w:b/>
          <w:sz w:val="24"/>
          <w:szCs w:val="24"/>
        </w:rPr>
      </w:pPr>
      <w:r>
        <w:rPr>
          <w:rFonts w:ascii="宋体" w:hAnsi="宋体" w:eastAsia="宋体"/>
          <w:b/>
          <w:sz w:val="24"/>
          <w:szCs w:val="24"/>
        </w:rPr>
        <w:t>一、采购人委托代理机构组织开标</w:t>
      </w:r>
    </w:p>
    <w:p>
      <w:pPr>
        <w:adjustRightInd w:val="0"/>
        <w:snapToGrid w:val="0"/>
        <w:spacing w:line="360" w:lineRule="auto"/>
        <w:ind w:firstLine="484" w:firstLineChars="202"/>
        <w:rPr>
          <w:rFonts w:ascii="宋体" w:hAnsi="宋体" w:eastAsia="宋体"/>
          <w:sz w:val="24"/>
          <w:szCs w:val="24"/>
        </w:rPr>
      </w:pPr>
      <w:r>
        <w:rPr>
          <w:rFonts w:ascii="宋体" w:hAnsi="宋体" w:eastAsia="宋体"/>
          <w:sz w:val="24"/>
          <w:szCs w:val="24"/>
        </w:rPr>
        <w:t>成立评标委员会，由采购人评委和有关专家依法组成。</w:t>
      </w:r>
    </w:p>
    <w:p>
      <w:pPr>
        <w:adjustRightInd w:val="0"/>
        <w:snapToGrid w:val="0"/>
        <w:spacing w:line="360" w:lineRule="auto"/>
        <w:ind w:firstLine="487" w:firstLineChars="202"/>
        <w:rPr>
          <w:rFonts w:ascii="宋体" w:hAnsi="宋体" w:eastAsia="宋体"/>
          <w:b/>
          <w:sz w:val="24"/>
          <w:szCs w:val="24"/>
        </w:rPr>
      </w:pPr>
      <w:r>
        <w:rPr>
          <w:rFonts w:hint="eastAsia" w:ascii="宋体" w:hAnsi="宋体" w:eastAsia="宋体"/>
          <w:b/>
          <w:sz w:val="24"/>
          <w:szCs w:val="24"/>
        </w:rPr>
        <w:t>二、开标</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1、采购代理机构主持开标并记录，及时处理投标人代表提出的询问或者回避申请。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2、投标人不足3家的不得开标，相应处理方式见本招标文件第四章第十一条的规定。</w:t>
      </w:r>
    </w:p>
    <w:p>
      <w:pPr>
        <w:adjustRightInd w:val="0"/>
        <w:snapToGrid w:val="0"/>
        <w:spacing w:line="360" w:lineRule="auto"/>
        <w:ind w:firstLine="487" w:firstLineChars="202"/>
        <w:rPr>
          <w:rFonts w:ascii="宋体" w:hAnsi="宋体" w:eastAsia="宋体"/>
          <w:b/>
          <w:sz w:val="24"/>
          <w:szCs w:val="24"/>
        </w:rPr>
      </w:pPr>
      <w:r>
        <w:rPr>
          <w:rFonts w:hint="eastAsia" w:ascii="宋体" w:hAnsi="宋体" w:eastAsia="宋体"/>
          <w:b/>
          <w:sz w:val="24"/>
          <w:szCs w:val="24"/>
        </w:rPr>
        <w:t>三、资格审查</w:t>
      </w:r>
    </w:p>
    <w:p>
      <w:pPr>
        <w:adjustRightInd w:val="0"/>
        <w:snapToGrid w:val="0"/>
        <w:spacing w:line="360" w:lineRule="auto"/>
        <w:ind w:firstLine="484" w:firstLineChars="202"/>
        <w:outlineLvl w:val="2"/>
        <w:rPr>
          <w:rFonts w:ascii="宋体" w:hAnsi="宋体" w:eastAsia="宋体"/>
          <w:sz w:val="24"/>
          <w:szCs w:val="24"/>
        </w:rPr>
      </w:pPr>
      <w:r>
        <w:rPr>
          <w:rFonts w:hint="eastAsia" w:ascii="宋体" w:hAnsi="宋体" w:eastAsia="宋体"/>
          <w:sz w:val="24"/>
          <w:szCs w:val="24"/>
        </w:rPr>
        <w:t>（一）资格后审</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1、开标后，由评标委员会根据招标文件载明的资格审查要求，对投标人的资格进行审查。</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2、资格审查合格的投标人进入评标。</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3、合格投标人不足3家的，不得评标，相应处理方式见本招标文件第四章第十一条的规定。</w:t>
      </w:r>
    </w:p>
    <w:p>
      <w:pPr>
        <w:adjustRightInd w:val="0"/>
        <w:snapToGrid w:val="0"/>
        <w:spacing w:line="360" w:lineRule="auto"/>
        <w:ind w:firstLine="484" w:firstLineChars="202"/>
        <w:outlineLvl w:val="2"/>
        <w:rPr>
          <w:rFonts w:ascii="宋体" w:hAnsi="宋体" w:eastAsia="宋体"/>
          <w:sz w:val="24"/>
          <w:szCs w:val="24"/>
        </w:rPr>
      </w:pPr>
      <w:r>
        <w:rPr>
          <w:rFonts w:hint="eastAsia" w:ascii="宋体" w:hAnsi="宋体" w:eastAsia="宋体"/>
          <w:sz w:val="24"/>
          <w:szCs w:val="24"/>
        </w:rPr>
        <w:t>（二）资格审查标准</w:t>
      </w:r>
    </w:p>
    <w:p>
      <w:pPr>
        <w:adjustRightInd w:val="0"/>
        <w:snapToGrid w:val="0"/>
        <w:spacing w:line="360" w:lineRule="auto"/>
        <w:jc w:val="center"/>
        <w:rPr>
          <w:rFonts w:ascii="宋体" w:hAnsi="宋体" w:eastAsia="宋体"/>
          <w:b/>
          <w:sz w:val="24"/>
          <w:szCs w:val="24"/>
        </w:rPr>
      </w:pPr>
      <w:r>
        <w:rPr>
          <w:rFonts w:hint="eastAsia" w:ascii="宋体" w:hAnsi="宋体" w:eastAsia="宋体"/>
          <w:sz w:val="24"/>
          <w:szCs w:val="24"/>
        </w:rPr>
        <w:t>资格后审审查标准一览表</w:t>
      </w:r>
    </w:p>
    <w:tbl>
      <w:tblPr>
        <w:tblStyle w:val="5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09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09" w:type="dxa"/>
            <w:vAlign w:val="center"/>
          </w:tcPr>
          <w:p>
            <w:pPr>
              <w:jc w:val="center"/>
              <w:rPr>
                <w:rFonts w:ascii="宋体" w:hAnsi="宋体" w:eastAsia="宋体"/>
                <w:sz w:val="21"/>
                <w:szCs w:val="21"/>
              </w:rPr>
            </w:pPr>
            <w:r>
              <w:rPr>
                <w:rFonts w:hint="eastAsia" w:ascii="宋体" w:hAnsi="宋体" w:eastAsia="宋体"/>
                <w:sz w:val="21"/>
                <w:szCs w:val="21"/>
              </w:rPr>
              <w:t>序号</w:t>
            </w:r>
          </w:p>
        </w:tc>
        <w:tc>
          <w:tcPr>
            <w:tcW w:w="6095" w:type="dxa"/>
            <w:vAlign w:val="center"/>
          </w:tcPr>
          <w:p>
            <w:pPr>
              <w:jc w:val="center"/>
              <w:rPr>
                <w:rFonts w:ascii="宋体" w:hAnsi="宋体" w:eastAsia="宋体"/>
                <w:sz w:val="21"/>
                <w:szCs w:val="21"/>
              </w:rPr>
            </w:pPr>
            <w:r>
              <w:rPr>
                <w:rFonts w:hint="eastAsia" w:ascii="宋体" w:hAnsi="宋体" w:eastAsia="宋体"/>
                <w:sz w:val="21"/>
                <w:szCs w:val="21"/>
              </w:rPr>
              <w:t>资格后审材料文件清单</w:t>
            </w:r>
          </w:p>
        </w:tc>
        <w:tc>
          <w:tcPr>
            <w:tcW w:w="2127" w:type="dxa"/>
            <w:vAlign w:val="center"/>
          </w:tcPr>
          <w:p>
            <w:pPr>
              <w:jc w:val="center"/>
              <w:rPr>
                <w:rFonts w:ascii="宋体" w:hAnsi="宋体" w:eastAsia="宋体"/>
                <w:sz w:val="21"/>
                <w:szCs w:val="21"/>
              </w:rPr>
            </w:pPr>
            <w:r>
              <w:rPr>
                <w:rFonts w:hint="eastAsia" w:ascii="宋体" w:hAnsi="宋体" w:eastAsia="宋体"/>
                <w:sz w:val="21"/>
                <w:szCs w:val="21"/>
              </w:rPr>
              <w:t>标准：唯一性条件判断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6095" w:type="dxa"/>
            <w:vAlign w:val="center"/>
          </w:tcPr>
          <w:p>
            <w:pPr>
              <w:rPr>
                <w:rFonts w:ascii="宋体" w:hAnsi="宋体" w:eastAsia="宋体" w:cs="宋体"/>
                <w:sz w:val="21"/>
                <w:szCs w:val="21"/>
              </w:rPr>
            </w:pPr>
            <w:r>
              <w:rPr>
                <w:rFonts w:hint="eastAsia" w:ascii="宋体" w:hAnsi="宋体" w:eastAsia="宋体" w:cs="宋体"/>
                <w:sz w:val="21"/>
                <w:szCs w:val="21"/>
              </w:rPr>
              <w:t>投标供应商符合《政府采购法》第二十二条规定条件的声明函（</w:t>
            </w:r>
            <w:r>
              <w:rPr>
                <w:rFonts w:ascii="宋体" w:hAnsi="宋体" w:eastAsia="宋体" w:cs="宋体"/>
                <w:sz w:val="21"/>
                <w:szCs w:val="21"/>
              </w:rPr>
              <w:t>格式见附件</w:t>
            </w:r>
            <w:r>
              <w:rPr>
                <w:rFonts w:hint="eastAsia" w:ascii="宋体" w:hAnsi="宋体" w:eastAsia="宋体" w:cs="宋体"/>
                <w:sz w:val="21"/>
                <w:szCs w:val="21"/>
              </w:rPr>
              <w:t>1）</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6095" w:type="dxa"/>
            <w:vAlign w:val="center"/>
          </w:tcPr>
          <w:p>
            <w:pPr>
              <w:rPr>
                <w:rFonts w:ascii="宋体" w:hAnsi="宋体" w:eastAsia="宋体"/>
                <w:b/>
                <w:sz w:val="21"/>
                <w:szCs w:val="21"/>
              </w:rPr>
            </w:pPr>
            <w:r>
              <w:rPr>
                <w:rFonts w:hint="eastAsia" w:ascii="宋体" w:hAnsi="宋体" w:eastAsia="宋体" w:cs="宋体"/>
                <w:sz w:val="21"/>
                <w:szCs w:val="21"/>
              </w:rPr>
              <w:t>法人或者其他组织的营业执照</w:t>
            </w:r>
            <w:r>
              <w:rPr>
                <w:rFonts w:hint="eastAsia" w:ascii="宋体" w:hAnsi="宋体" w:eastAsia="宋体"/>
                <w:sz w:val="21"/>
                <w:szCs w:val="21"/>
              </w:rPr>
              <w:t>原件的复印件（须加盖公章）；</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6095" w:type="dxa"/>
            <w:vAlign w:val="center"/>
          </w:tcPr>
          <w:p>
            <w:pPr>
              <w:rPr>
                <w:rFonts w:ascii="宋体" w:hAnsi="宋体" w:eastAsia="宋体"/>
                <w:sz w:val="21"/>
                <w:szCs w:val="21"/>
              </w:rPr>
            </w:pPr>
            <w:r>
              <w:rPr>
                <w:rFonts w:hint="eastAsia" w:ascii="宋体" w:hAnsi="宋体" w:eastAsia="宋体"/>
                <w:sz w:val="21"/>
                <w:szCs w:val="21"/>
              </w:rPr>
              <w:t>法定代表人参加投标的，必须提供法定代表人身份证明（须加盖公章）；非法定代表人参加的，必须提供法定代表人签名或盖章的授权委托书（须加盖公章，格式参见第八部分）</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6095" w:type="dxa"/>
            <w:vAlign w:val="center"/>
          </w:tcPr>
          <w:p>
            <w:pPr>
              <w:adjustRightInd w:val="0"/>
              <w:rPr>
                <w:rFonts w:ascii="宋体" w:hAnsi="宋体" w:eastAsia="宋体" w:cs="宋体"/>
                <w:sz w:val="21"/>
                <w:szCs w:val="21"/>
              </w:rPr>
            </w:pPr>
            <w:r>
              <w:rPr>
                <w:rFonts w:hint="eastAsia" w:ascii="宋体" w:hAnsi="宋体" w:eastAsia="宋体" w:cs="宋体"/>
                <w:sz w:val="21"/>
                <w:szCs w:val="21"/>
              </w:rPr>
              <w:t>1.制造商需具有有效的中华人民共和国特种设备安装改造维修许可证（乘客电梯、载货电梯 ）A级资质或特种设备生产许可资质（含曳引驱动乘客电梯（含消防员电梯）、曳引驱动载货电梯和强制驱动载货电梯(含防爆电梯中的载货电梯)）；</w:t>
            </w:r>
          </w:p>
          <w:p>
            <w:pPr>
              <w:adjustRightInd w:val="0"/>
              <w:rPr>
                <w:rFonts w:ascii="宋体" w:hAnsi="宋体" w:eastAsia="宋体" w:cs="宋体"/>
                <w:sz w:val="21"/>
                <w:szCs w:val="21"/>
              </w:rPr>
            </w:pPr>
            <w:r>
              <w:rPr>
                <w:rFonts w:hint="eastAsia" w:ascii="宋体" w:hAnsi="宋体" w:eastAsia="宋体" w:cs="宋体"/>
                <w:sz w:val="21"/>
                <w:szCs w:val="21"/>
              </w:rPr>
              <w:t>2.代理商需具有有效的中华人民共和国特种设备安装改造维修许可证（乘客电梯、载货电梯 ）A级资质或特种生产许可资质（安装维修）（含曳引驱动乘客电梯（含消防员电梯）、曳引驱动载货电梯和强制驱动载货电梯(含防爆电梯中的载货电梯)）。</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bl>
    <w:p>
      <w:pPr>
        <w:adjustRightInd w:val="0"/>
        <w:spacing w:line="360" w:lineRule="auto"/>
        <w:ind w:firstLine="482" w:firstLineChars="200"/>
        <w:contextualSpacing/>
        <w:rPr>
          <w:rFonts w:ascii="宋体" w:hAnsi="宋体" w:eastAsia="宋体"/>
          <w:b/>
          <w:sz w:val="24"/>
          <w:szCs w:val="24"/>
        </w:rPr>
      </w:pPr>
      <w:r>
        <w:rPr>
          <w:rFonts w:hint="eastAsia" w:ascii="宋体" w:hAnsi="宋体" w:eastAsia="宋体"/>
          <w:b/>
          <w:sz w:val="24"/>
          <w:szCs w:val="24"/>
        </w:rPr>
        <w:t>四、评标</w:t>
      </w:r>
    </w:p>
    <w:p>
      <w:pPr>
        <w:adjustRightInd w:val="0"/>
        <w:spacing w:line="360" w:lineRule="auto"/>
        <w:ind w:firstLine="484" w:firstLineChars="202"/>
        <w:contextualSpacing/>
        <w:rPr>
          <w:rFonts w:ascii="宋体" w:hAnsi="宋体" w:eastAsia="宋体"/>
          <w:b/>
          <w:sz w:val="24"/>
          <w:szCs w:val="24"/>
        </w:rPr>
      </w:pPr>
      <w:r>
        <w:rPr>
          <w:rFonts w:hint="eastAsia" w:ascii="宋体" w:hAnsi="宋体" w:eastAsia="宋体"/>
          <w:sz w:val="24"/>
          <w:szCs w:val="24"/>
        </w:rPr>
        <w:t>1、评标时间：</w:t>
      </w:r>
      <w:r>
        <w:rPr>
          <w:rFonts w:hint="eastAsia" w:ascii="宋体" w:hAnsi="宋体" w:eastAsia="宋体"/>
          <w:b/>
          <w:sz w:val="24"/>
          <w:szCs w:val="24"/>
        </w:rPr>
        <w:t>资格审查结束以后。</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2、采购代理机构负责组织评标工作，并履行下列职责：</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（1）核对评审专家身份，对评审专家在采购活动中的职责履行情况予以记录，并及时将有关违法违规行为向相关部门报告。</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（2）宣布评标纪律。</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（3）公布投标人名单，告知评审专家应当回避的情形。</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（4）组织评标委员会推选评标组长，采购人代表不得担任组长。</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（5）在评标期间采取必要的通讯管理措施，保证评标活动不受外界干扰；除采购人代表、评标现场组织人员外，采购人的其他工作人员以及与评标工作无关的人员不得进入评标现场。</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（6）根据评标委员会的要求介绍采购相关政策法规、招标文件。</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pPr>
        <w:adjustRightInd w:val="0"/>
        <w:spacing w:line="360" w:lineRule="auto"/>
        <w:ind w:firstLine="484" w:firstLineChars="202"/>
        <w:contextualSpacing/>
        <w:rPr>
          <w:rFonts w:ascii="宋体" w:hAnsi="宋体" w:eastAsia="宋体"/>
          <w:b/>
          <w:sz w:val="24"/>
          <w:szCs w:val="24"/>
        </w:rPr>
      </w:pPr>
      <w:r>
        <w:rPr>
          <w:rFonts w:hint="eastAsia" w:ascii="宋体" w:hAnsi="宋体" w:eastAsia="宋体"/>
          <w:sz w:val="24"/>
          <w:szCs w:val="24"/>
        </w:rPr>
        <w:t>（8）核对评标结果，有下列规定情形的，要求评标委员会复核或者书面说明理由，评标委员会拒绝的，则予以书面记录并向本级相关部门报告：</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① 分值汇总计算错误的；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② 分项评分超出评分标准范围的；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③ 评标委员会成员对客观评审因素评分不一致的；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④ 经评标委员会认定评分畸高、畸低的。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（9）评审工作完成后，按照规定向评审专家支付劳务报酬和异地评审差旅费，不得向评审专家以外的其他人员支付评审劳务报酬；</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（10）处理与评标有关的其他事项。</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3、评标委员会负责具体评标事务：</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4、评标委员会成员独立履行以下职责与义务：</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（1）遵纪守法，客观、公正、廉洁地履行职责；</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（2）审查合格投标人的投标文件是否实质性响应招标文件要求，并做出评价；</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（3）按照招标文件规定的评标办法和评标标准进行评标，对评审意见承担个人责任；</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（4）可以要求投标人对投标文件有关事项做出解释或澄清；</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（5）对评标过程和结果，以及投标人的商业秘密保密；</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（6）配合相关部门的投诉处理工作；</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（7）配合采购人或采购代理机构答复投标人提出的质疑。</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5、除采购人代表、评标现场组织人员外，采购人的其他工作人员以及与评标工作无关的人员不得进入评标现场；有关人员对评标情况以及在评标过程中获悉的国家秘密、商业秘密负有保密责任。</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6、开标后直到公告项目成交结果发出成交通知书并授予中标人合同为止，凡属于评审、澄清、评价和比较投标的所有资料及有关授予合同等的相关信息，都不应向投标人或与评标无关的其他人泄露。</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7、评审期间，合格投标人的投标文件仍有可能被评标委员会根据规定判为无效投标。</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8、在投标文件的评审、澄清、评价和比较以及授予合同的过程中，投标人对采购人和评标委员会成员有施加影响的任何行为，都将取消其可能的中标资格。</w:t>
      </w:r>
    </w:p>
    <w:p>
      <w:pPr>
        <w:adjustRightInd w:val="0"/>
        <w:snapToGrid w:val="0"/>
        <w:spacing w:line="360" w:lineRule="auto"/>
        <w:ind w:firstLine="487" w:firstLineChars="202"/>
        <w:rPr>
          <w:rFonts w:ascii="宋体" w:hAnsi="宋体" w:eastAsia="宋体"/>
          <w:sz w:val="24"/>
          <w:szCs w:val="24"/>
        </w:rPr>
      </w:pPr>
      <w:r>
        <w:rPr>
          <w:rFonts w:hint="eastAsia" w:ascii="宋体" w:hAnsi="宋体" w:eastAsia="宋体"/>
          <w:b/>
          <w:sz w:val="24"/>
          <w:szCs w:val="24"/>
        </w:rPr>
        <w:t>五、评审原则</w:t>
      </w:r>
    </w:p>
    <w:p>
      <w:pPr>
        <w:snapToGrid w:val="0"/>
        <w:spacing w:line="360" w:lineRule="auto"/>
        <w:ind w:firstLine="484" w:firstLineChars="202"/>
        <w:rPr>
          <w:rFonts w:ascii="宋体" w:hAnsi="宋体" w:eastAsia="宋体" w:cs="宋体"/>
          <w:sz w:val="24"/>
          <w:szCs w:val="24"/>
        </w:rPr>
      </w:pPr>
      <w:r>
        <w:rPr>
          <w:rFonts w:hint="eastAsia" w:ascii="宋体" w:hAnsi="宋体" w:eastAsia="宋体"/>
          <w:sz w:val="24"/>
          <w:szCs w:val="24"/>
        </w:rPr>
        <w:t>1、</w:t>
      </w:r>
      <w:r>
        <w:rPr>
          <w:rFonts w:hint="eastAsia" w:ascii="宋体" w:hAnsi="宋体" w:eastAsia="宋体" w:cs="宋体"/>
          <w:sz w:val="24"/>
          <w:szCs w:val="24"/>
        </w:rPr>
        <w:t>本项目采用</w:t>
      </w:r>
      <w:r>
        <w:rPr>
          <w:rFonts w:hint="eastAsia" w:ascii="宋体" w:hAnsi="宋体" w:eastAsia="宋体" w:cs="宋体"/>
          <w:b/>
          <w:sz w:val="24"/>
          <w:szCs w:val="24"/>
          <w:u w:val="single"/>
        </w:rPr>
        <w:t>综合评分法</w:t>
      </w:r>
      <w:r>
        <w:rPr>
          <w:rFonts w:hint="eastAsia" w:ascii="宋体" w:hAnsi="宋体" w:eastAsia="宋体" w:cs="宋体"/>
          <w:sz w:val="24"/>
          <w:szCs w:val="24"/>
        </w:rPr>
        <w:t>，即指投标文件满足本项目招标文件全部实质性要求，且按照评审因素的量化指标，经评审后总得分最高的投标人推荐为中标人的评标方法。</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3、评标委员会严格按照招标文件规定的要求、条件、评分标准，对投标人所提供的完整计划标的物的科学性、可行性、产品质量、服务质量的保证及承诺等实质性响应内容进行比较评价。</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4、对投标文件的评审判定，只依据投标文件内容本身，不依靠开标后任何外来证明文件。</w:t>
      </w:r>
    </w:p>
    <w:p>
      <w:pPr>
        <w:snapToGrid w:val="0"/>
        <w:spacing w:line="360" w:lineRule="auto"/>
        <w:ind w:firstLine="487" w:firstLineChars="202"/>
        <w:rPr>
          <w:rFonts w:ascii="宋体" w:hAnsi="宋体" w:eastAsia="宋体"/>
          <w:sz w:val="24"/>
          <w:szCs w:val="24"/>
        </w:rPr>
      </w:pPr>
      <w:r>
        <w:rPr>
          <w:rFonts w:hint="eastAsia" w:ascii="宋体" w:hAnsi="宋体" w:eastAsia="宋体"/>
          <w:b/>
          <w:sz w:val="24"/>
          <w:szCs w:val="24"/>
        </w:rPr>
        <w:t>六、评审方法</w:t>
      </w:r>
    </w:p>
    <w:bookmarkEnd w:id="5"/>
    <w:p>
      <w:pPr>
        <w:snapToGrid w:val="0"/>
        <w:spacing w:line="360" w:lineRule="auto"/>
        <w:ind w:firstLine="484" w:firstLineChars="202"/>
        <w:rPr>
          <w:rFonts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评标程序：</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资格符合性评审——技术标评审——商务标评审——确定中标候选人。</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本次资格审查采用资格后审，各投标人资格审查通过后方能进入技术标的开标。先开技术标，技术标打分结束后再开商务标。</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2、评标委员会将仅对按本招标文件载明的方法与规定，为实质上响应招标文件要求的投标文件评审并进行评价和比较。</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3、本次项目的技术标和商务标评审总分值为100分。两部分评审因素比重如下：</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技术标分值占总分值的比重为</w:t>
      </w:r>
      <w:r>
        <w:rPr>
          <w:rFonts w:hint="eastAsia" w:ascii="宋体" w:hAnsi="宋体" w:eastAsia="宋体" w:cs="宋体"/>
          <w:b/>
          <w:bCs/>
          <w:sz w:val="24"/>
          <w:szCs w:val="24"/>
          <w:u w:val="single"/>
        </w:rPr>
        <w:t xml:space="preserve">30%（权重） </w:t>
      </w:r>
      <w:r>
        <w:rPr>
          <w:rFonts w:hint="eastAsia" w:ascii="宋体" w:hAnsi="宋体" w:eastAsia="宋体" w:cs="宋体"/>
          <w:sz w:val="24"/>
          <w:szCs w:val="24"/>
        </w:rPr>
        <w:t>（计算结果均四舍五入保留两位小数）；</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商务标分值占总分值的比重为</w:t>
      </w:r>
      <w:r>
        <w:rPr>
          <w:rFonts w:hint="eastAsia" w:ascii="宋体" w:hAnsi="宋体" w:eastAsia="宋体" w:cs="宋体"/>
          <w:b/>
          <w:bCs/>
          <w:sz w:val="24"/>
          <w:szCs w:val="24"/>
          <w:u w:val="single"/>
        </w:rPr>
        <w:t>70%（权重）</w:t>
      </w:r>
      <w:r>
        <w:rPr>
          <w:rFonts w:hint="eastAsia" w:ascii="宋体" w:hAnsi="宋体" w:eastAsia="宋体" w:cs="宋体"/>
          <w:sz w:val="24"/>
          <w:szCs w:val="24"/>
        </w:rPr>
        <w:t>（计算结果均四舍五入保留两位小数）；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4、评标委员会严格按照招标文件的要求、条件、评分标准，对投标人所提供货物或服务的先进性、可靠性、售后服务承诺、质量保证承诺等实质性响应内容进行比较。</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5、评标委员会构成共5人；评标委员会各成员独立对每个进入打分程序的有效投标人的投标文件的技术部分以打分的形式进行评审和评价。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6、当评标委员会评委为5人以上的，技术分是在去掉一个最高分和一个最低分后均算而成，当评委少于5人（含5人）时，技术分按算术平均值计算（计算结果均四舍五入保留两位小数）。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7、开启投标人的商务报价标，现场唱标后由投标人代表签名确认。</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8、投标人的价格标评审得分直接计算取得，并与其技术标得分相加为该投标人的综合得分（计算结果均四舍五入保留两位小数）。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9、评审后的综合得分相同的，按投标报价由低到高顺序排列。综合得分且投标报价相同的并列；综合得分并列第一的，则采取现场抽签的方式确定（投标人的抽签顺序分别为各投标人递交投标文件签到顺序号）。</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10、评标结果按投标文件满足招标文件全部实质性要求，且按照评审因素的量化指标评审综合得分最高的投标人，排名第一的确定为第一中标候选人，出具评审报告并将结果通知所有投标人。</w:t>
      </w:r>
    </w:p>
    <w:p>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七、关于投标价格评审</w:t>
      </w:r>
    </w:p>
    <w:p>
      <w:pPr>
        <w:snapToGrid w:val="0"/>
        <w:spacing w:line="360" w:lineRule="auto"/>
        <w:ind w:firstLine="480" w:firstLineChars="200"/>
        <w:outlineLvl w:val="2"/>
        <w:rPr>
          <w:rFonts w:ascii="宋体" w:hAnsi="宋体" w:eastAsia="宋体" w:cs="宋体"/>
          <w:sz w:val="24"/>
          <w:szCs w:val="24"/>
        </w:rPr>
      </w:pPr>
      <w:r>
        <w:rPr>
          <w:rFonts w:hint="eastAsia" w:ascii="宋体" w:hAnsi="宋体" w:eastAsia="宋体" w:cs="宋体"/>
          <w:sz w:val="24"/>
          <w:szCs w:val="24"/>
        </w:rPr>
        <w:t>1、针对投标价格实质响应的评审</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则按无效投标处理。</w:t>
      </w:r>
    </w:p>
    <w:p>
      <w:pPr>
        <w:snapToGrid w:val="0"/>
        <w:spacing w:line="360" w:lineRule="auto"/>
        <w:ind w:firstLine="480" w:firstLineChars="200"/>
        <w:outlineLvl w:val="2"/>
        <w:rPr>
          <w:rFonts w:ascii="宋体" w:hAnsi="宋体" w:eastAsia="宋体" w:cs="宋体"/>
          <w:sz w:val="24"/>
          <w:szCs w:val="24"/>
        </w:rPr>
      </w:pPr>
      <w:r>
        <w:rPr>
          <w:rFonts w:hint="eastAsia" w:ascii="宋体" w:hAnsi="宋体" w:eastAsia="宋体" w:cs="宋体"/>
          <w:sz w:val="24"/>
          <w:szCs w:val="24"/>
        </w:rPr>
        <w:t>2、针对投标价格合理性的评审</w:t>
      </w:r>
    </w:p>
    <w:p>
      <w:pPr>
        <w:snapToGrid w:val="0"/>
        <w:spacing w:line="360" w:lineRule="auto"/>
        <w:ind w:firstLine="487" w:firstLineChars="202"/>
        <w:rPr>
          <w:rFonts w:ascii="宋体" w:hAnsi="宋体" w:eastAsia="宋体"/>
          <w:sz w:val="24"/>
          <w:szCs w:val="24"/>
        </w:rPr>
      </w:pPr>
      <w:r>
        <w:rPr>
          <w:rFonts w:hint="eastAsia" w:ascii="宋体" w:hAnsi="宋体" w:eastAsia="宋体" w:cs="宋体"/>
          <w:b/>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7" w:firstLineChars="202"/>
        <w:rPr>
          <w:rFonts w:ascii="宋体" w:hAnsi="宋体" w:eastAsia="宋体" w:cs="宋体"/>
          <w:b/>
          <w:sz w:val="24"/>
          <w:szCs w:val="24"/>
        </w:rPr>
      </w:pPr>
      <w:r>
        <w:rPr>
          <w:rFonts w:hint="eastAsia" w:ascii="宋体" w:hAnsi="宋体" w:eastAsia="宋体" w:cs="宋体"/>
          <w:b/>
          <w:sz w:val="24"/>
          <w:szCs w:val="24"/>
        </w:rPr>
        <w:t>八、评审评分项</w:t>
      </w:r>
    </w:p>
    <w:p>
      <w:pPr>
        <w:snapToGrid w:val="0"/>
        <w:spacing w:line="360" w:lineRule="auto"/>
        <w:ind w:firstLine="487" w:firstLineChars="202"/>
        <w:rPr>
          <w:rFonts w:ascii="宋体" w:hAnsi="宋体" w:eastAsia="宋体"/>
          <w:b/>
          <w:sz w:val="24"/>
          <w:szCs w:val="24"/>
        </w:rPr>
      </w:pPr>
      <w:r>
        <w:rPr>
          <w:rFonts w:ascii="宋体" w:hAnsi="宋体" w:eastAsia="宋体"/>
          <w:b/>
          <w:sz w:val="24"/>
          <w:szCs w:val="24"/>
        </w:rPr>
        <w:t>（一）技术标评分：（</w:t>
      </w:r>
      <w:r>
        <w:rPr>
          <w:rFonts w:hint="eastAsia" w:ascii="宋体" w:hAnsi="宋体" w:eastAsia="宋体"/>
          <w:b/>
          <w:sz w:val="24"/>
          <w:szCs w:val="24"/>
        </w:rPr>
        <w:t>30</w:t>
      </w:r>
      <w:r>
        <w:rPr>
          <w:rFonts w:ascii="宋体" w:hAnsi="宋体" w:eastAsia="宋体"/>
          <w:b/>
          <w:sz w:val="24"/>
          <w:szCs w:val="24"/>
        </w:rPr>
        <w:t>分）</w:t>
      </w:r>
    </w:p>
    <w:tbl>
      <w:tblPr>
        <w:tblStyle w:val="5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67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评分因素</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各评分因素细分项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1</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atLeast"/>
              <w:jc w:val="left"/>
              <w:rPr>
                <w:rFonts w:cs="宋体" w:asciiTheme="majorEastAsia" w:hAnsiTheme="majorEastAsia" w:eastAsiaTheme="majorEastAsia"/>
                <w:kern w:val="0"/>
                <w:sz w:val="21"/>
                <w:szCs w:val="21"/>
              </w:rPr>
            </w:pPr>
            <w:r>
              <w:rPr>
                <w:rFonts w:cs="宋体" w:asciiTheme="majorEastAsia" w:hAnsiTheme="majorEastAsia" w:eastAsiaTheme="majorEastAsia"/>
                <w:kern w:val="0"/>
                <w:sz w:val="21"/>
                <w:szCs w:val="21"/>
              </w:rPr>
              <w:t>体系认证</w:t>
            </w:r>
            <w:r>
              <w:rPr>
                <w:rFonts w:hint="eastAsia" w:cs="宋体" w:asciiTheme="majorEastAsia" w:hAnsiTheme="majorEastAsia" w:eastAsiaTheme="majorEastAsia"/>
                <w:kern w:val="0"/>
                <w:sz w:val="21"/>
                <w:szCs w:val="21"/>
              </w:rPr>
              <w:t>及证书</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（1）投标人通过质量管理ISO认证，提供证书复印件且在有效期内得1分，未提供或不满足得0分。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（2）投标人通过环境管理ISO 认证，提供证书复印件且在有效期内得1分，未提供或不满足得0分。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（3）投标人通过职业安全健康ISO认证，提供证书复印件且在有效期内得1分，未提供或不满足得0分。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（4）投标人2021年度维保星级达到五星的得2分，达到四星的得1分，达到三星的得0.5分，三星以下不得分。提供证书复印件，未提供或不满足得0分。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2</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项目</w:t>
            </w:r>
            <w:r>
              <w:rPr>
                <w:rFonts w:cs="宋体" w:asciiTheme="majorEastAsia" w:hAnsiTheme="majorEastAsia" w:eastAsiaTheme="majorEastAsia"/>
                <w:kern w:val="0"/>
                <w:sz w:val="21"/>
                <w:szCs w:val="21"/>
              </w:rPr>
              <w:t>业绩</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（1）投标人自2020年以来承担过电梯免保或维保单个合同80台以上的，每提供一份得2分，最高得6分。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（2）投标人自2020年以来承担过电梯免保或维保单个合同60台以上的，每提供一份得1分，最高得3分。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（3）投标人自2020年以来承担过电梯免保或维保单个合同30台以上的，每提供一份得得0.5分，最高得1.5分。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同一项目就高计分，不重复得分，本项最高得分为6分。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（以上需提供合同复印件，加盖投标人公章。）</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服务措施  （需提供详细的服务方案及承诺函）</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（1）投标供应商必须提供24小时的驻点应急响应服务。（1分）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（2）能在接到故障或事故报警后15分钟内排除一般性故障或事故。（1分）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（3）对电梯困人事件要求在到达现场后10分钟内把乘客从轿厢中救出、对非电子线路板损坏的原因常见故障要求在15分钟内排除，对电子线路板损坏的原因故障应在合同认可的合理时间内解决。（1分）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上述（1）、（2）、（3）项需同时提供详细的服务方案及承诺函（承诺函格式自拟），否则不得分。不能满足上述任一一点时间要求的，作无效标处理。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4）项目负责人同时持有机电工程二级及以上建造师证书和安全员B证，得1分；同时持有机电工程二级及以上建造师证书、安全员B证、TI/T2证再得2分，本小条最高3分。（需提供项目负责人相关证书复印件、与投标人的劳动合同复印件、投标人为其缴纳的2022年8-10月的养老保险缴费证明。）</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5）驻点服务的人员数量不少于2人标准配备，提供驻点人员的姓名、通讯号码、有效的特种设备作业人员资格证书复印件、与投标人的劳动合同复印件、投标人为其缴纳的2022年8-10月的养老保险缴费证明。满足以上要求得3分。维保人员配备不满足上述要求的做无效标处理，投标供应商提供售后服务承诺函（格式自拟）。</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（6）能承诺调整驻场服务人员需征得招标方同意或应招标方要求及时调整驻场人员。（1分）（承诺函格式自拟）</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4</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ind w:left="0"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电梯配件及价格清单（不限于所给清单内容，投标人可对清单所列的配件进行补充，所报价格服务期内不得变动）</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1、投标人补充的配件要从所给清单后面依次向后排，不得打乱已给清单中各项配件的顺序，否则本项不得分。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2、有效投标文件的电梯配件明细及价格清单比较打分。（</w:t>
            </w:r>
            <w:r>
              <w:rPr>
                <w:rFonts w:hint="eastAsia" w:cs="宋体" w:asciiTheme="majorEastAsia" w:hAnsiTheme="majorEastAsia" w:eastAsiaTheme="majorEastAsia"/>
                <w:kern w:val="0"/>
                <w:sz w:val="21"/>
                <w:szCs w:val="21"/>
              </w:rPr>
              <w:fldChar w:fldCharType="begin"/>
            </w:r>
            <w:r>
              <w:rPr>
                <w:rFonts w:hint="eastAsia" w:cs="宋体" w:asciiTheme="majorEastAsia" w:hAnsiTheme="majorEastAsia" w:eastAsiaTheme="majorEastAsia"/>
                <w:kern w:val="0"/>
                <w:sz w:val="21"/>
                <w:szCs w:val="21"/>
              </w:rPr>
              <w:instrText xml:space="preserve"> = 1 \* GB3 </w:instrText>
            </w:r>
            <w:r>
              <w:rPr>
                <w:rFonts w:hint="eastAsia" w:cs="宋体" w:asciiTheme="majorEastAsia" w:hAnsiTheme="majorEastAsia" w:eastAsiaTheme="majorEastAsia"/>
                <w:kern w:val="0"/>
                <w:sz w:val="21"/>
                <w:szCs w:val="21"/>
              </w:rPr>
              <w:fldChar w:fldCharType="separate"/>
            </w:r>
            <w:r>
              <w:rPr>
                <w:rFonts w:hint="eastAsia" w:cs="宋体" w:asciiTheme="majorEastAsia" w:hAnsiTheme="majorEastAsia" w:eastAsiaTheme="majorEastAsia"/>
                <w:kern w:val="0"/>
                <w:sz w:val="21"/>
                <w:szCs w:val="21"/>
              </w:rPr>
              <w:t>①</w:t>
            </w:r>
            <w:r>
              <w:rPr>
                <w:rFonts w:hint="eastAsia" w:cs="宋体" w:asciiTheme="majorEastAsia" w:hAnsiTheme="majorEastAsia" w:eastAsiaTheme="majorEastAsia"/>
                <w:kern w:val="0"/>
                <w:sz w:val="21"/>
                <w:szCs w:val="21"/>
              </w:rPr>
              <w:fldChar w:fldCharType="end"/>
            </w:r>
            <w:r>
              <w:rPr>
                <w:rFonts w:hint="eastAsia" w:cs="宋体" w:asciiTheme="majorEastAsia" w:hAnsiTheme="majorEastAsia" w:eastAsiaTheme="majorEastAsia"/>
                <w:kern w:val="0"/>
                <w:sz w:val="21"/>
                <w:szCs w:val="21"/>
              </w:rPr>
              <w:t>所列清单项目报价不得漏报（不报），少一项扣2分。</w:t>
            </w:r>
            <w:r>
              <w:rPr>
                <w:rFonts w:hint="eastAsia" w:cs="宋体" w:asciiTheme="majorEastAsia" w:hAnsiTheme="majorEastAsia" w:eastAsiaTheme="majorEastAsia"/>
                <w:kern w:val="0"/>
                <w:sz w:val="21"/>
                <w:szCs w:val="21"/>
              </w:rPr>
              <w:fldChar w:fldCharType="begin"/>
            </w:r>
            <w:r>
              <w:rPr>
                <w:rFonts w:hint="eastAsia" w:cs="宋体" w:asciiTheme="majorEastAsia" w:hAnsiTheme="majorEastAsia" w:eastAsiaTheme="majorEastAsia"/>
                <w:kern w:val="0"/>
                <w:sz w:val="21"/>
                <w:szCs w:val="21"/>
              </w:rPr>
              <w:instrText xml:space="preserve"> = 2 \* GB3 </w:instrText>
            </w:r>
            <w:r>
              <w:rPr>
                <w:rFonts w:hint="eastAsia" w:cs="宋体" w:asciiTheme="majorEastAsia" w:hAnsiTheme="majorEastAsia" w:eastAsiaTheme="majorEastAsia"/>
                <w:kern w:val="0"/>
                <w:sz w:val="21"/>
                <w:szCs w:val="21"/>
              </w:rPr>
              <w:fldChar w:fldCharType="separate"/>
            </w:r>
            <w:r>
              <w:rPr>
                <w:rFonts w:hint="eastAsia" w:cs="宋体" w:asciiTheme="majorEastAsia" w:hAnsiTheme="majorEastAsia" w:eastAsiaTheme="majorEastAsia"/>
                <w:kern w:val="0"/>
                <w:sz w:val="21"/>
                <w:szCs w:val="21"/>
              </w:rPr>
              <w:t>②</w:t>
            </w:r>
            <w:r>
              <w:rPr>
                <w:rFonts w:hint="eastAsia" w:cs="宋体" w:asciiTheme="majorEastAsia" w:hAnsiTheme="majorEastAsia" w:eastAsiaTheme="majorEastAsia"/>
                <w:kern w:val="0"/>
                <w:sz w:val="21"/>
                <w:szCs w:val="21"/>
              </w:rPr>
              <w:fldChar w:fldCharType="end"/>
            </w:r>
            <w:r>
              <w:rPr>
                <w:rFonts w:hint="eastAsia" w:cs="宋体" w:asciiTheme="majorEastAsia" w:hAnsiTheme="majorEastAsia" w:eastAsiaTheme="majorEastAsia"/>
                <w:kern w:val="0"/>
                <w:sz w:val="21"/>
                <w:szCs w:val="21"/>
              </w:rPr>
              <w:t>所报的免费项目不得加注人为和非人为损坏的区别。）</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3、除提供的配件清单项外，补充的配件项目多一项得1分，最多得2分。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4、相同配件进行价格比较找出最低价。按各投标人的最低价个数由多到少排序，最低价个数最多的得7分，每降一名扣2分，最少得0分（满分7分）。</w:t>
            </w:r>
          </w:p>
          <w:p>
            <w:pPr>
              <w:adjustRightInd w:val="0"/>
              <w:spacing w:line="320" w:lineRule="atLeast"/>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5、承诺所提供配件必须是电梯原产品牌配件。（电梯配件清单详见附件）（承诺书格式自拟）</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FF0000"/>
                <w:sz w:val="24"/>
                <w:szCs w:val="24"/>
              </w:rPr>
            </w:pPr>
            <w:r>
              <w:rPr>
                <w:rFonts w:hint="eastAsia" w:ascii="宋体" w:hAnsi="宋体" w:eastAsia="宋体" w:cs="宋体"/>
                <w:sz w:val="24"/>
                <w:szCs w:val="24"/>
              </w:rPr>
              <w:t>9分</w:t>
            </w:r>
          </w:p>
        </w:tc>
      </w:tr>
    </w:tbl>
    <w:p>
      <w:pPr>
        <w:tabs>
          <w:tab w:val="left" w:pos="5442"/>
        </w:tabs>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以上资料如为复印件，均需加盖投标单位公章。</w:t>
      </w:r>
    </w:p>
    <w:p>
      <w:pPr>
        <w:tabs>
          <w:tab w:val="left" w:pos="5442"/>
        </w:tabs>
        <w:snapToGrid w:val="0"/>
        <w:spacing w:line="360" w:lineRule="auto"/>
        <w:ind w:firstLine="482" w:firstLineChars="200"/>
        <w:outlineLvl w:val="1"/>
        <w:rPr>
          <w:rFonts w:ascii="宋体" w:hAnsi="宋体" w:eastAsia="宋体"/>
          <w:b/>
          <w:sz w:val="24"/>
          <w:szCs w:val="24"/>
        </w:rPr>
      </w:pPr>
      <w:r>
        <w:rPr>
          <w:rFonts w:ascii="宋体" w:hAnsi="宋体" w:eastAsia="宋体" w:cs="宋体"/>
          <w:b/>
          <w:bCs/>
          <w:sz w:val="24"/>
          <w:szCs w:val="24"/>
        </w:rPr>
        <w:t>（二）商务标评分：（</w:t>
      </w:r>
      <w:r>
        <w:rPr>
          <w:rFonts w:hint="eastAsia" w:ascii="宋体" w:hAnsi="宋体" w:eastAsia="宋体" w:cs="宋体"/>
          <w:b/>
          <w:bCs/>
          <w:sz w:val="24"/>
          <w:szCs w:val="24"/>
        </w:rPr>
        <w:t>70</w:t>
      </w:r>
      <w:r>
        <w:rPr>
          <w:rFonts w:ascii="宋体" w:hAnsi="宋体" w:eastAsia="宋体" w:cs="宋体"/>
          <w:b/>
          <w:bCs/>
          <w:sz w:val="24"/>
          <w:szCs w:val="24"/>
        </w:rPr>
        <w:t>分）</w:t>
      </w:r>
    </w:p>
    <w:p>
      <w:pPr>
        <w:snapToGrid w:val="0"/>
        <w:spacing w:line="360" w:lineRule="auto"/>
        <w:ind w:firstLine="480" w:firstLineChars="200"/>
        <w:rPr>
          <w:rFonts w:ascii="宋体" w:hAnsi="宋体" w:eastAsia="宋体" w:cs="宋体"/>
          <w:sz w:val="24"/>
          <w:szCs w:val="24"/>
        </w:rPr>
      </w:pPr>
      <w:r>
        <w:rPr>
          <w:rFonts w:ascii="宋体" w:hAnsi="宋体" w:eastAsia="宋体"/>
          <w:sz w:val="24"/>
          <w:szCs w:val="24"/>
        </w:rPr>
        <w:t>1、本次项目最高限价为人民币</w:t>
      </w:r>
      <w:r>
        <w:rPr>
          <w:rFonts w:hint="eastAsia" w:ascii="宋体" w:hAnsi="宋体" w:eastAsia="宋体" w:cs="宋体"/>
          <w:b/>
          <w:sz w:val="24"/>
          <w:szCs w:val="24"/>
        </w:rPr>
        <w:t>12.15万元/年</w:t>
      </w:r>
      <w:r>
        <w:rPr>
          <w:rFonts w:hint="eastAsia" w:ascii="宋体" w:hAnsi="宋体" w:eastAsia="宋体"/>
          <w:sz w:val="24"/>
          <w:szCs w:val="24"/>
        </w:rPr>
        <w:t>，</w:t>
      </w:r>
      <w:r>
        <w:rPr>
          <w:rFonts w:ascii="宋体" w:hAnsi="宋体" w:eastAsia="宋体"/>
          <w:sz w:val="24"/>
          <w:szCs w:val="24"/>
        </w:rPr>
        <w:t>超过</w:t>
      </w:r>
      <w:r>
        <w:rPr>
          <w:rFonts w:hint="eastAsia" w:ascii="宋体" w:hAnsi="宋体" w:eastAsia="宋体"/>
          <w:sz w:val="24"/>
          <w:szCs w:val="24"/>
        </w:rPr>
        <w:t>最高限价的</w:t>
      </w:r>
      <w:r>
        <w:rPr>
          <w:rFonts w:ascii="宋体" w:hAnsi="宋体" w:eastAsia="宋体"/>
          <w:sz w:val="24"/>
          <w:szCs w:val="24"/>
        </w:rPr>
        <w:t>作无效投标处理。</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2、满足招标文件要求且投标报价最低的报价为评标基准价，其商务标得分为满分</w:t>
      </w:r>
      <w:r>
        <w:rPr>
          <w:rFonts w:hint="eastAsia" w:ascii="宋体" w:hAnsi="宋体" w:eastAsia="宋体"/>
          <w:sz w:val="24"/>
          <w:szCs w:val="24"/>
        </w:rPr>
        <w:t>60</w:t>
      </w:r>
      <w:r>
        <w:rPr>
          <w:rFonts w:ascii="宋体" w:hAnsi="宋体" w:eastAsia="宋体"/>
          <w:sz w:val="24"/>
          <w:szCs w:val="24"/>
        </w:rPr>
        <w:t>分。</w:t>
      </w:r>
    </w:p>
    <w:p>
      <w:pPr>
        <w:snapToGrid w:val="0"/>
        <w:spacing w:line="360" w:lineRule="auto"/>
        <w:ind w:firstLine="570"/>
        <w:rPr>
          <w:rFonts w:ascii="宋体" w:hAnsi="宋体" w:eastAsia="宋体"/>
          <w:sz w:val="24"/>
          <w:szCs w:val="24"/>
        </w:rPr>
      </w:pPr>
      <w:r>
        <w:rPr>
          <w:rFonts w:ascii="宋体" w:hAnsi="宋体" w:eastAsia="宋体"/>
          <w:sz w:val="24"/>
          <w:szCs w:val="24"/>
        </w:rPr>
        <w:t>3、其他投标人的商务标得分分别按照下列公式计算：</w:t>
      </w:r>
    </w:p>
    <w:p>
      <w:pPr>
        <w:snapToGrid w:val="0"/>
        <w:spacing w:line="360" w:lineRule="auto"/>
        <w:ind w:firstLine="484" w:firstLineChars="202"/>
        <w:rPr>
          <w:rFonts w:ascii="宋体" w:hAnsi="宋体" w:eastAsia="宋体"/>
          <w:sz w:val="24"/>
          <w:szCs w:val="24"/>
        </w:rPr>
      </w:pPr>
      <w:r>
        <w:rPr>
          <w:rFonts w:ascii="宋体" w:hAnsi="宋体" w:eastAsia="宋体"/>
          <w:sz w:val="24"/>
          <w:szCs w:val="24"/>
        </w:rPr>
        <w:t xml:space="preserve">   商务标得分 =（评标基准价/投标报价）×</w:t>
      </w:r>
      <w:r>
        <w:rPr>
          <w:rFonts w:hint="eastAsia" w:ascii="宋体" w:hAnsi="宋体" w:eastAsia="宋体"/>
          <w:sz w:val="24"/>
          <w:szCs w:val="24"/>
        </w:rPr>
        <w:t>7</w:t>
      </w:r>
      <w:r>
        <w:rPr>
          <w:rFonts w:ascii="宋体" w:hAnsi="宋体" w:eastAsia="宋体"/>
          <w:sz w:val="24"/>
          <w:szCs w:val="24"/>
        </w:rPr>
        <w:t>0%×100</w:t>
      </w:r>
    </w:p>
    <w:p>
      <w:pPr>
        <w:snapToGrid w:val="0"/>
        <w:spacing w:line="360" w:lineRule="auto"/>
        <w:ind w:firstLine="570"/>
        <w:rPr>
          <w:rFonts w:ascii="宋体" w:hAnsi="宋体" w:eastAsia="宋体" w:cs="仿宋_GB2312"/>
          <w:b/>
          <w:bCs/>
          <w:sz w:val="24"/>
          <w:szCs w:val="24"/>
        </w:rPr>
      </w:pPr>
      <w:r>
        <w:rPr>
          <w:rFonts w:hint="eastAsia" w:ascii="宋体" w:hAnsi="宋体" w:eastAsia="宋体" w:cs="仿宋_GB2312"/>
          <w:b/>
          <w:bCs/>
          <w:sz w:val="24"/>
          <w:szCs w:val="24"/>
        </w:rPr>
        <w:t>（三）评标争议</w:t>
      </w:r>
    </w:p>
    <w:p>
      <w:pPr>
        <w:snapToGrid w:val="0"/>
        <w:spacing w:line="360" w:lineRule="auto"/>
        <w:ind w:firstLine="573"/>
        <w:rPr>
          <w:rFonts w:ascii="宋体" w:hAnsi="宋体" w:eastAsia="宋体" w:cs="仿宋_GB2312"/>
          <w:sz w:val="24"/>
          <w:szCs w:val="24"/>
        </w:rPr>
      </w:pPr>
      <w:r>
        <w:rPr>
          <w:rFonts w:hint="eastAsia" w:ascii="宋体" w:hAnsi="宋体" w:eastAsia="宋体" w:cs="仿宋_GB2312"/>
          <w:sz w:val="24"/>
          <w:szCs w:val="24"/>
        </w:rPr>
        <w:t>评标时评委对评标的细则若有争议，由评标</w:t>
      </w:r>
      <w:r>
        <w:rPr>
          <w:rFonts w:hint="eastAsia" w:ascii="宋体" w:hAnsi="宋体" w:eastAsia="宋体"/>
          <w:sz w:val="24"/>
          <w:szCs w:val="24"/>
        </w:rPr>
        <w:t>委员会</w:t>
      </w:r>
      <w:r>
        <w:rPr>
          <w:rFonts w:hint="eastAsia" w:ascii="宋体" w:hAnsi="宋体" w:eastAsia="宋体" w:cs="仿宋_GB2312"/>
          <w:sz w:val="24"/>
          <w:szCs w:val="24"/>
        </w:rPr>
        <w:t>评委集体讨论确定，并对未尽情况有最终解释权。</w:t>
      </w:r>
    </w:p>
    <w:p>
      <w:pPr>
        <w:snapToGrid w:val="0"/>
        <w:spacing w:line="360" w:lineRule="auto"/>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（四）落标原因</w:t>
      </w:r>
    </w:p>
    <w:p>
      <w:pPr>
        <w:adjustRightInd w:val="0"/>
        <w:snapToGrid w:val="0"/>
        <w:spacing w:line="360" w:lineRule="auto"/>
        <w:ind w:firstLine="480" w:firstLineChars="200"/>
        <w:outlineLvl w:val="2"/>
        <w:rPr>
          <w:rFonts w:ascii="宋体" w:hAnsi="宋体" w:eastAsia="宋体" w:cs="仿宋_GB2312"/>
          <w:sz w:val="24"/>
          <w:szCs w:val="24"/>
        </w:rPr>
      </w:pPr>
      <w:r>
        <w:rPr>
          <w:rFonts w:hint="eastAsia" w:ascii="宋体" w:hAnsi="宋体" w:eastAsia="宋体" w:cs="仿宋_GB2312"/>
          <w:sz w:val="24"/>
          <w:szCs w:val="24"/>
        </w:rPr>
        <w:t>评标</w:t>
      </w:r>
      <w:r>
        <w:rPr>
          <w:rFonts w:hint="eastAsia" w:ascii="宋体" w:hAnsi="宋体" w:eastAsia="宋体"/>
          <w:sz w:val="24"/>
          <w:szCs w:val="24"/>
        </w:rPr>
        <w:t>委员会</w:t>
      </w:r>
      <w:r>
        <w:rPr>
          <w:rFonts w:hint="eastAsia" w:ascii="宋体" w:hAnsi="宋体" w:eastAsia="宋体" w:cs="仿宋_GB2312"/>
          <w:sz w:val="24"/>
          <w:szCs w:val="24"/>
        </w:rPr>
        <w:t>不对落标的投标人做落标原因的解释。</w:t>
      </w:r>
    </w:p>
    <w:p>
      <w:pPr>
        <w:snapToGrid w:val="0"/>
        <w:spacing w:line="360" w:lineRule="auto"/>
        <w:ind w:firstLine="573"/>
        <w:rPr>
          <w:rFonts w:ascii="宋体" w:hAnsi="宋体" w:eastAsia="宋体" w:cs="宋体"/>
          <w:b/>
          <w:sz w:val="24"/>
          <w:szCs w:val="24"/>
        </w:rPr>
      </w:pPr>
      <w:r>
        <w:rPr>
          <w:rFonts w:hint="eastAsia" w:ascii="宋体" w:hAnsi="宋体" w:eastAsia="宋体" w:cs="宋体"/>
          <w:b/>
          <w:sz w:val="24"/>
          <w:szCs w:val="24"/>
        </w:rPr>
        <w:t>九、出现下列情形之一的，作无效投标处理：</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1、投标文件未按招标文件要求签署、盖章的；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2、不具备招标文件中规定的资格要求的；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3、报价超过招标文件中规定的预算金额或者最高限价的；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4、投标文件含有采购人不能接受的附加条件的；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5、法律、法规和招标文件规定的其他无效情形。</w:t>
      </w:r>
    </w:p>
    <w:p>
      <w:pPr>
        <w:snapToGrid w:val="0"/>
        <w:spacing w:line="360" w:lineRule="auto"/>
        <w:ind w:firstLine="482" w:firstLineChars="200"/>
        <w:outlineLvl w:val="1"/>
        <w:rPr>
          <w:rFonts w:ascii="宋体" w:hAnsi="宋体" w:eastAsia="宋体"/>
          <w:sz w:val="24"/>
          <w:szCs w:val="24"/>
        </w:rPr>
      </w:pPr>
      <w:r>
        <w:rPr>
          <w:rFonts w:hint="eastAsia" w:ascii="宋体" w:hAnsi="宋体" w:eastAsia="宋体" w:cs="宋体"/>
          <w:b/>
          <w:bCs/>
          <w:sz w:val="24"/>
          <w:szCs w:val="24"/>
        </w:rPr>
        <w:t>十、有下列情形之一的，视为投标人串通投标，其投标无效：</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1、不同投标人的投标文件由同一单位或者个人编制；</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2、不同投标人委托同一单位或者个人办理投标事宜；</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3、不同投标人的投标文件载明的项目管理成员或者联系人员为同一人；</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4、不同投标人的投标文件异常一致或者投标报价呈规律性差异；</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5、不同投标人的投标文件相互混装。</w:t>
      </w:r>
    </w:p>
    <w:p>
      <w:pPr>
        <w:snapToGrid w:val="0"/>
        <w:spacing w:line="360" w:lineRule="auto"/>
        <w:ind w:firstLine="482" w:firstLineChars="200"/>
        <w:outlineLvl w:val="1"/>
        <w:rPr>
          <w:rFonts w:ascii="宋体" w:hAnsi="宋体" w:eastAsia="宋体"/>
          <w:sz w:val="24"/>
          <w:szCs w:val="24"/>
        </w:rPr>
      </w:pPr>
      <w:r>
        <w:rPr>
          <w:rFonts w:hint="eastAsia" w:ascii="宋体" w:hAnsi="宋体" w:eastAsia="宋体" w:cs="宋体"/>
          <w:b/>
          <w:bCs/>
          <w:sz w:val="24"/>
          <w:szCs w:val="24"/>
        </w:rPr>
        <w:t>十一、变更为其他方式采购的情形处理</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公开招标数额标准以上的采购项目，投标截止后供应商不足3家或者通过资格审查或符合性审查的供应商不足3家的，除采购任务取消情形外，按照以下方式处理：</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1、招标文件存在不合理条款或者招标程序不符合规定的，采购人、采购代理机构改正后依法重新招标。</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2、招标文件没有不合理条款、招标程序符合规定，需要采用其他采购方式采购的，采购人应当依法报上级主管部门批准。</w:t>
      </w:r>
    </w:p>
    <w:p>
      <w:pPr>
        <w:snapToGrid w:val="0"/>
        <w:spacing w:line="360" w:lineRule="auto"/>
        <w:ind w:firstLine="564" w:firstLineChars="235"/>
        <w:rPr>
          <w:rFonts w:ascii="宋体" w:hAnsi="宋体" w:eastAsia="宋体"/>
          <w:sz w:val="24"/>
          <w:szCs w:val="24"/>
        </w:rPr>
      </w:pPr>
      <w:r>
        <w:rPr>
          <w:rFonts w:hint="eastAsia" w:ascii="宋体" w:hAnsi="宋体" w:eastAsia="宋体" w:cs="宋体"/>
          <w:sz w:val="24"/>
          <w:szCs w:val="24"/>
        </w:rPr>
        <w:t>3、达到公开招标数额标准、经批准采用非公开招标的货物、服务，可以采用竞争性谈判、单一来源采购方式采购，采购货物的，还可以采用询价采购方式。</w:t>
      </w:r>
    </w:p>
    <w:p>
      <w:pPr>
        <w:snapToGrid w:val="0"/>
        <w:spacing w:line="360" w:lineRule="auto"/>
        <w:ind w:firstLine="482" w:firstLineChars="200"/>
        <w:outlineLvl w:val="1"/>
        <w:rPr>
          <w:rFonts w:ascii="宋体" w:hAnsi="宋体" w:eastAsia="宋体"/>
          <w:b/>
          <w:bCs/>
          <w:sz w:val="24"/>
          <w:szCs w:val="24"/>
        </w:rPr>
      </w:pPr>
      <w:r>
        <w:rPr>
          <w:rFonts w:hint="eastAsia" w:ascii="宋体" w:hAnsi="宋体" w:eastAsia="宋体" w:cs="宋体"/>
          <w:b/>
          <w:bCs/>
          <w:sz w:val="24"/>
          <w:szCs w:val="24"/>
        </w:rPr>
        <w:t>十二、出现下列情形之一的，作废标处理：</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1、出现影响采购公正的违法违规行为的；</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2、所有投标人报价超出采购预算价的；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3、因重大变故，采购任务被取消的；</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4、招标文件中规定的认定为废标的其他情况；</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5、评标委员会依据法律法规可以认定为废标的其他情况。</w:t>
      </w:r>
    </w:p>
    <w:p>
      <w:pPr>
        <w:snapToGrid w:val="0"/>
        <w:spacing w:line="360" w:lineRule="auto"/>
        <w:ind w:firstLine="482" w:firstLineChars="200"/>
        <w:outlineLvl w:val="1"/>
        <w:rPr>
          <w:rFonts w:ascii="宋体" w:hAnsi="宋体" w:eastAsia="宋体"/>
          <w:b/>
          <w:bCs/>
          <w:sz w:val="24"/>
          <w:szCs w:val="24"/>
        </w:rPr>
      </w:pPr>
      <w:r>
        <w:rPr>
          <w:rFonts w:hint="eastAsia" w:ascii="宋体" w:hAnsi="宋体" w:eastAsia="宋体" w:cs="宋体"/>
          <w:b/>
          <w:bCs/>
          <w:sz w:val="24"/>
          <w:szCs w:val="24"/>
        </w:rPr>
        <w:t>十三、成交通知</w:t>
      </w:r>
    </w:p>
    <w:p>
      <w:pPr>
        <w:spacing w:line="360" w:lineRule="auto"/>
        <w:ind w:firstLine="484" w:firstLineChars="202"/>
        <w:rPr>
          <w:rFonts w:ascii="宋体" w:hAnsi="宋体" w:eastAsia="宋体"/>
          <w:kern w:val="0"/>
          <w:sz w:val="24"/>
          <w:szCs w:val="24"/>
        </w:rPr>
      </w:pPr>
      <w:r>
        <w:rPr>
          <w:rFonts w:hint="eastAsia" w:ascii="宋体" w:hAnsi="宋体" w:eastAsia="宋体" w:cs="宋体"/>
          <w:kern w:val="0"/>
          <w:sz w:val="24"/>
          <w:szCs w:val="24"/>
        </w:rPr>
        <w:t>1、开标结束后，招标采购单位自中标人确定之日起2个工作日内在指定媒体上公告中标结果。</w:t>
      </w:r>
    </w:p>
    <w:p>
      <w:pPr>
        <w:spacing w:line="360" w:lineRule="auto"/>
        <w:ind w:firstLine="484" w:firstLineChars="202"/>
        <w:rPr>
          <w:rFonts w:ascii="宋体" w:hAnsi="宋体" w:eastAsia="宋体"/>
          <w:kern w:val="0"/>
          <w:sz w:val="24"/>
          <w:szCs w:val="24"/>
        </w:rPr>
      </w:pPr>
      <w:r>
        <w:rPr>
          <w:rFonts w:hint="eastAsia" w:ascii="宋体" w:hAnsi="宋体" w:eastAsia="宋体" w:cs="宋体"/>
          <w:kern w:val="0"/>
          <w:sz w:val="24"/>
          <w:szCs w:val="24"/>
        </w:rPr>
        <w:t>2、中标公告期限为1个工作日，期限结束后向中标人发出《中标通知书》。</w:t>
      </w:r>
    </w:p>
    <w:p>
      <w:pPr>
        <w:spacing w:line="360" w:lineRule="auto"/>
        <w:ind w:firstLine="480" w:firstLineChars="200"/>
        <w:rPr>
          <w:rFonts w:ascii="宋体" w:hAnsi="宋体" w:eastAsia="宋体"/>
          <w:kern w:val="0"/>
          <w:sz w:val="24"/>
          <w:szCs w:val="24"/>
        </w:rPr>
      </w:pPr>
      <w:r>
        <w:rPr>
          <w:rFonts w:hint="eastAsia" w:ascii="宋体" w:hAnsi="宋体" w:eastAsia="宋体" w:cs="宋体"/>
          <w:kern w:val="0"/>
          <w:sz w:val="24"/>
          <w:szCs w:val="24"/>
        </w:rPr>
        <w:t>3、《中标通知书》一经发出，即具有法律效力。采购人、中标人依法承担法律责任。</w:t>
      </w:r>
    </w:p>
    <w:p>
      <w:pPr>
        <w:pStyle w:val="5"/>
      </w:pPr>
    </w:p>
    <w:p>
      <w:pPr>
        <w:pStyle w:val="5"/>
      </w:pPr>
    </w:p>
    <w:p>
      <w:pPr>
        <w:pStyle w:val="5"/>
        <w:ind w:firstLine="0" w:firstLineChars="0"/>
      </w:pPr>
    </w:p>
    <w:p>
      <w:pPr>
        <w:pStyle w:val="5"/>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第五部分  合同主要条款</w:t>
      </w:r>
    </w:p>
    <w:p>
      <w:pPr>
        <w:pStyle w:val="2"/>
      </w:pPr>
    </w:p>
    <w:p>
      <w:pPr>
        <w:pStyle w:val="5"/>
        <w:ind w:firstLine="0" w:firstLineChars="0"/>
      </w:pPr>
    </w:p>
    <w:bookmarkEnd w:id="4"/>
    <w:p>
      <w:pPr>
        <w:spacing w:line="360" w:lineRule="auto"/>
        <w:jc w:val="center"/>
        <w:rPr>
          <w:rFonts w:ascii="宋体" w:hAnsi="宋体" w:eastAsia="宋体" w:cs="宋体"/>
          <w:b/>
          <w:color w:val="000000"/>
          <w:kern w:val="0"/>
          <w:sz w:val="32"/>
          <w:szCs w:val="32"/>
        </w:rPr>
      </w:pPr>
      <w:bookmarkStart w:id="6" w:name="_Toc363573857"/>
      <w:r>
        <w:rPr>
          <w:rFonts w:hint="eastAsia" w:ascii="宋体" w:hAnsi="宋体" w:eastAsia="宋体" w:cs="宋体"/>
          <w:b/>
          <w:color w:val="000000"/>
          <w:kern w:val="0"/>
          <w:sz w:val="32"/>
          <w:szCs w:val="32"/>
        </w:rPr>
        <w:t>南通市电梯日常维护保养合同</w:t>
      </w:r>
    </w:p>
    <w:p>
      <w:pPr>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使用单位（甲方）：</w:t>
      </w:r>
      <w:r>
        <w:rPr>
          <w:rFonts w:hint="eastAsia" w:ascii="宋体" w:hAnsi="宋体" w:eastAsia="宋体" w:cs="宋体"/>
          <w:b/>
          <w:color w:val="000000"/>
          <w:kern w:val="0"/>
          <w:sz w:val="24"/>
          <w:szCs w:val="24"/>
          <w:u w:val="single"/>
        </w:rPr>
        <w:t>南通农副产品物流有限公司</w:t>
      </w:r>
    </w:p>
    <w:p>
      <w:pPr>
        <w:spacing w:line="360" w:lineRule="auto"/>
        <w:jc w:val="left"/>
        <w:rPr>
          <w:rFonts w:ascii="宋体" w:hAnsi="宋体" w:eastAsia="宋体" w:cs="宋体"/>
          <w:color w:val="000000"/>
          <w:kern w:val="0"/>
          <w:sz w:val="24"/>
          <w:szCs w:val="24"/>
          <w:u w:val="single"/>
        </w:rPr>
      </w:pPr>
      <w:r>
        <w:rPr>
          <w:rFonts w:hint="eastAsia" w:ascii="宋体" w:hAnsi="宋体" w:eastAsia="宋体" w:cs="宋体"/>
          <w:b/>
          <w:color w:val="000000"/>
          <w:kern w:val="0"/>
          <w:sz w:val="24"/>
          <w:szCs w:val="24"/>
        </w:rPr>
        <w:t>维保单位（乙方）：</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依照《中华人民共和国民法典》、《特种设备安全监察条例》、</w:t>
      </w:r>
      <w:r>
        <w:rPr>
          <w:rFonts w:hint="eastAsia" w:ascii="宋体" w:hAnsi="宋体" w:eastAsia="宋体"/>
          <w:color w:val="000000"/>
          <w:kern w:val="0"/>
          <w:sz w:val="24"/>
          <w:szCs w:val="24"/>
        </w:rPr>
        <w:t>《电梯使用管理与维护保养规则》（TSGT5002-2017</w:t>
      </w:r>
      <w:r>
        <w:rPr>
          <w:rFonts w:ascii="宋体" w:hAnsi="宋体" w:eastAsia="宋体"/>
          <w:color w:val="000000"/>
          <w:kern w:val="0"/>
          <w:sz w:val="24"/>
          <w:szCs w:val="24"/>
        </w:rPr>
        <w:t>）</w:t>
      </w:r>
      <w:r>
        <w:rPr>
          <w:rFonts w:hint="eastAsia" w:ascii="宋体" w:hAnsi="宋体" w:eastAsia="宋体" w:cs="宋体"/>
          <w:color w:val="000000"/>
          <w:kern w:val="0"/>
          <w:sz w:val="24"/>
          <w:szCs w:val="24"/>
        </w:rPr>
        <w:t>及其他有关规定，甲乙双方遵循平等、自愿、公平和诚实信用的原则，就南通农副产品物流中心电梯日常维护保养服务的有关事宜协商订立本合同。</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第一条  日常维护保养的电梯</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甲乙双方约定，由乙方为《电梯维护保养及金额明细表》（见附件一）中列明的甲方使用、管理的电梯提供日常的维护保养服务。</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第二条  日常维护保养内容</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乙方应当按照</w:t>
      </w:r>
      <w:r>
        <w:rPr>
          <w:rFonts w:hint="eastAsia" w:ascii="宋体" w:hAnsi="宋体" w:eastAsia="宋体"/>
          <w:color w:val="000000"/>
          <w:kern w:val="0"/>
          <w:sz w:val="24"/>
          <w:szCs w:val="24"/>
        </w:rPr>
        <w:t>《电梯使用管理与维护保养规则》（TSGT5002-2017</w:t>
      </w:r>
      <w:r>
        <w:rPr>
          <w:rFonts w:ascii="宋体" w:hAnsi="宋体" w:eastAsia="宋体"/>
          <w:color w:val="000000"/>
          <w:kern w:val="0"/>
          <w:sz w:val="24"/>
          <w:szCs w:val="24"/>
        </w:rPr>
        <w:t>）</w:t>
      </w:r>
      <w:r>
        <w:rPr>
          <w:rFonts w:hint="eastAsia" w:ascii="宋体" w:hAnsi="宋体" w:eastAsia="宋体" w:cs="宋体"/>
          <w:color w:val="000000"/>
          <w:kern w:val="0"/>
          <w:sz w:val="24"/>
          <w:szCs w:val="24"/>
        </w:rPr>
        <w:t>完成半月、月、季度、半年、年保养项目，并做好维护保养记录。</w:t>
      </w:r>
    </w:p>
    <w:p>
      <w:pPr>
        <w:spacing w:line="360" w:lineRule="auto"/>
        <w:rPr>
          <w:rFonts w:ascii="宋体" w:hAnsi="宋体" w:eastAsia="宋体" w:cs="宋体"/>
          <w:b/>
          <w:color w:val="000000"/>
          <w:kern w:val="0"/>
          <w:sz w:val="24"/>
          <w:szCs w:val="24"/>
        </w:rPr>
      </w:pPr>
      <w:r>
        <w:rPr>
          <w:rFonts w:hint="eastAsia" w:ascii="宋体" w:hAnsi="宋体" w:eastAsia="宋体" w:cs="ËÎÌå"/>
          <w:b/>
          <w:color w:val="000000"/>
          <w:kern w:val="0"/>
          <w:sz w:val="24"/>
          <w:szCs w:val="24"/>
        </w:rPr>
        <w:t xml:space="preserve">第三条  </w:t>
      </w:r>
      <w:r>
        <w:rPr>
          <w:rFonts w:hint="eastAsia" w:ascii="宋体" w:hAnsi="宋体" w:eastAsia="宋体" w:cs="宋体"/>
          <w:b/>
          <w:color w:val="000000"/>
          <w:kern w:val="0"/>
          <w:sz w:val="24"/>
          <w:szCs w:val="24"/>
        </w:rPr>
        <w:t>日常维护保养标准</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实施日常维护保养后的电梯应当符合相应的国家标准和安全技术规范，并且处于正常的运行状态。</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除上述标准外，还应当满足如下要求：</w:t>
      </w:r>
      <w:r>
        <w:rPr>
          <w:rFonts w:hint="eastAsia" w:ascii="宋体" w:hAnsi="宋体" w:eastAsia="宋体" w:cs="宋体"/>
          <w:color w:val="000000"/>
          <w:kern w:val="0"/>
          <w:sz w:val="24"/>
          <w:szCs w:val="24"/>
          <w:u w:val="single"/>
        </w:rPr>
        <w:t>代甲方进行按照国家、省、市电梯安全技术规范要求的年检报检工作。</w:t>
      </w:r>
    </w:p>
    <w:p>
      <w:pPr>
        <w:spacing w:line="360" w:lineRule="auto"/>
        <w:rPr>
          <w:rFonts w:ascii="宋体" w:hAnsi="宋体" w:eastAsia="宋体"/>
          <w:b/>
          <w:color w:val="000000"/>
          <w:kern w:val="0"/>
          <w:sz w:val="24"/>
          <w:szCs w:val="24"/>
        </w:rPr>
      </w:pPr>
      <w:r>
        <w:rPr>
          <w:rFonts w:hint="eastAsia" w:ascii="宋体" w:hAnsi="宋体" w:eastAsia="宋体" w:cs="ËÎÌå"/>
          <w:b/>
          <w:color w:val="000000"/>
          <w:kern w:val="0"/>
          <w:sz w:val="24"/>
          <w:szCs w:val="24"/>
        </w:rPr>
        <w:t xml:space="preserve">第四条  </w:t>
      </w:r>
      <w:r>
        <w:rPr>
          <w:rFonts w:hint="eastAsia" w:ascii="宋体" w:hAnsi="宋体" w:eastAsia="宋体"/>
          <w:b/>
          <w:color w:val="000000"/>
          <w:kern w:val="0"/>
          <w:sz w:val="24"/>
          <w:szCs w:val="24"/>
        </w:rPr>
        <w:t>日常维护保养期限</w:t>
      </w:r>
    </w:p>
    <w:p>
      <w:pPr>
        <w:spacing w:line="360" w:lineRule="auto"/>
        <w:ind w:firstLine="480" w:firstLineChars="200"/>
        <w:rPr>
          <w:rFonts w:ascii="宋体" w:hAnsi="宋体" w:eastAsia="宋体"/>
          <w:color w:val="000000"/>
          <w:kern w:val="0"/>
          <w:sz w:val="24"/>
          <w:szCs w:val="24"/>
        </w:rPr>
      </w:pPr>
      <w:r>
        <w:rPr>
          <w:rFonts w:hint="eastAsia" w:ascii="宋体" w:hAnsi="宋体" w:eastAsia="宋体"/>
          <w:color w:val="000000"/>
          <w:kern w:val="0"/>
          <w:sz w:val="24"/>
          <w:szCs w:val="24"/>
        </w:rPr>
        <w:t>本合同</w:t>
      </w:r>
      <w:r>
        <w:rPr>
          <w:rFonts w:hint="eastAsia" w:ascii="宋体" w:hAnsi="宋体" w:eastAsia="宋体" w:cs="宋体"/>
          <w:color w:val="000000"/>
          <w:kern w:val="0"/>
          <w:sz w:val="24"/>
          <w:szCs w:val="24"/>
        </w:rPr>
        <w:t>南通农副产品物流中心电梯</w:t>
      </w:r>
      <w:r>
        <w:rPr>
          <w:rFonts w:hint="eastAsia" w:ascii="宋体" w:hAnsi="宋体" w:eastAsia="宋体"/>
          <w:color w:val="000000"/>
          <w:kern w:val="0"/>
          <w:sz w:val="24"/>
          <w:szCs w:val="24"/>
        </w:rPr>
        <w:t>维保期限</w:t>
      </w:r>
      <w:r>
        <w:rPr>
          <w:rFonts w:hint="eastAsia" w:ascii="宋体" w:hAnsi="宋体" w:eastAsia="宋体"/>
          <w:b/>
          <w:bCs/>
          <w:kern w:val="0"/>
          <w:sz w:val="24"/>
          <w:szCs w:val="24"/>
          <w:u w:val="none"/>
        </w:rPr>
        <w:t xml:space="preserve"> 三 </w:t>
      </w:r>
      <w:r>
        <w:rPr>
          <w:rFonts w:hint="eastAsia" w:ascii="宋体" w:hAnsi="宋体" w:eastAsia="宋体"/>
          <w:kern w:val="0"/>
          <w:sz w:val="24"/>
          <w:szCs w:val="24"/>
        </w:rPr>
        <w:t>年（一年一签）</w:t>
      </w:r>
      <w:r>
        <w:rPr>
          <w:rFonts w:hint="eastAsia" w:ascii="宋体" w:hAnsi="宋体" w:eastAsia="宋体"/>
          <w:color w:val="auto"/>
          <w:kern w:val="0"/>
          <w:sz w:val="24"/>
          <w:szCs w:val="24"/>
        </w:rPr>
        <w:t>；</w:t>
      </w:r>
    </w:p>
    <w:p>
      <w:pPr>
        <w:spacing w:line="360" w:lineRule="auto"/>
        <w:ind w:firstLine="482" w:firstLineChars="200"/>
        <w:rPr>
          <w:rFonts w:ascii="宋体" w:hAnsi="宋体" w:eastAsia="宋体"/>
          <w:b/>
          <w:bCs/>
          <w:color w:val="000000"/>
          <w:kern w:val="0"/>
          <w:sz w:val="24"/>
          <w:szCs w:val="24"/>
        </w:rPr>
      </w:pPr>
      <w:r>
        <w:rPr>
          <w:rFonts w:hint="eastAsia" w:ascii="宋体" w:hAnsi="宋体" w:eastAsia="宋体"/>
          <w:b/>
          <w:bCs/>
          <w:color w:val="000000"/>
          <w:kern w:val="0"/>
          <w:sz w:val="24"/>
          <w:szCs w:val="24"/>
        </w:rPr>
        <w:t>自</w:t>
      </w:r>
      <w:r>
        <w:rPr>
          <w:rFonts w:hint="eastAsia" w:ascii="宋体" w:hAnsi="宋体" w:eastAsia="宋体"/>
          <w:b/>
          <w:bCs/>
          <w:color w:val="000000"/>
          <w:kern w:val="0"/>
          <w:sz w:val="24"/>
          <w:szCs w:val="24"/>
          <w:u w:val="single"/>
        </w:rPr>
        <w:t xml:space="preserve">  2023 </w:t>
      </w:r>
      <w:r>
        <w:rPr>
          <w:rFonts w:hint="eastAsia" w:ascii="宋体" w:hAnsi="宋体" w:eastAsia="宋体"/>
          <w:b/>
          <w:bCs/>
          <w:color w:val="000000"/>
          <w:kern w:val="0"/>
          <w:sz w:val="24"/>
          <w:szCs w:val="24"/>
        </w:rPr>
        <w:t>年</w:t>
      </w:r>
      <w:r>
        <w:rPr>
          <w:rFonts w:hint="eastAsia" w:ascii="宋体" w:hAnsi="宋体" w:eastAsia="宋体"/>
          <w:b/>
          <w:bCs/>
          <w:color w:val="000000"/>
          <w:kern w:val="0"/>
          <w:sz w:val="24"/>
          <w:szCs w:val="24"/>
          <w:u w:val="single"/>
        </w:rPr>
        <w:t xml:space="preserve"> 1 </w:t>
      </w:r>
      <w:r>
        <w:rPr>
          <w:rFonts w:hint="eastAsia" w:ascii="宋体" w:hAnsi="宋体" w:eastAsia="宋体"/>
          <w:b/>
          <w:bCs/>
          <w:color w:val="000000"/>
          <w:kern w:val="0"/>
          <w:sz w:val="24"/>
          <w:szCs w:val="24"/>
        </w:rPr>
        <w:t>月</w:t>
      </w:r>
      <w:r>
        <w:rPr>
          <w:rFonts w:hint="eastAsia" w:ascii="宋体" w:hAnsi="宋体" w:eastAsia="宋体"/>
          <w:b/>
          <w:bCs/>
          <w:color w:val="000000"/>
          <w:kern w:val="0"/>
          <w:sz w:val="24"/>
          <w:szCs w:val="24"/>
          <w:lang w:val="en-US" w:eastAsia="zh-CN"/>
        </w:rPr>
        <w:t xml:space="preserve">   </w:t>
      </w:r>
      <w:r>
        <w:rPr>
          <w:rFonts w:hint="eastAsia" w:ascii="宋体" w:hAnsi="宋体" w:eastAsia="宋体"/>
          <w:b/>
          <w:bCs/>
          <w:color w:val="000000"/>
          <w:kern w:val="0"/>
          <w:sz w:val="24"/>
          <w:szCs w:val="24"/>
        </w:rPr>
        <w:t>日起至</w:t>
      </w:r>
      <w:r>
        <w:rPr>
          <w:rFonts w:hint="eastAsia" w:ascii="宋体" w:hAnsi="宋体" w:eastAsia="宋体"/>
          <w:b/>
          <w:bCs/>
          <w:color w:val="000000"/>
          <w:kern w:val="0"/>
          <w:sz w:val="24"/>
          <w:szCs w:val="24"/>
          <w:u w:val="single"/>
        </w:rPr>
        <w:t xml:space="preserve"> 2026</w:t>
      </w:r>
      <w:r>
        <w:rPr>
          <w:rFonts w:hint="eastAsia" w:ascii="宋体" w:hAnsi="宋体" w:eastAsia="宋体"/>
          <w:b/>
          <w:bCs/>
          <w:color w:val="000000"/>
          <w:kern w:val="0"/>
          <w:sz w:val="24"/>
          <w:szCs w:val="24"/>
        </w:rPr>
        <w:t>年</w:t>
      </w:r>
      <w:r>
        <w:rPr>
          <w:rFonts w:hint="eastAsia" w:ascii="宋体" w:hAnsi="宋体" w:eastAsia="宋体"/>
          <w:b/>
          <w:bCs/>
          <w:color w:val="000000"/>
          <w:kern w:val="0"/>
          <w:sz w:val="24"/>
          <w:szCs w:val="24"/>
          <w:u w:val="single"/>
        </w:rPr>
        <w:t xml:space="preserve"> 1 </w:t>
      </w:r>
      <w:r>
        <w:rPr>
          <w:rFonts w:hint="eastAsia" w:ascii="宋体" w:hAnsi="宋体" w:eastAsia="宋体"/>
          <w:b/>
          <w:bCs/>
          <w:color w:val="000000"/>
          <w:kern w:val="0"/>
          <w:sz w:val="24"/>
          <w:szCs w:val="24"/>
        </w:rPr>
        <w:t>月</w:t>
      </w:r>
      <w:r>
        <w:rPr>
          <w:rFonts w:hint="eastAsia" w:ascii="宋体" w:hAnsi="宋体" w:eastAsia="宋体"/>
          <w:b/>
          <w:bCs/>
          <w:color w:val="000000"/>
          <w:kern w:val="0"/>
          <w:sz w:val="24"/>
          <w:szCs w:val="24"/>
          <w:lang w:val="en-US" w:eastAsia="zh-CN"/>
        </w:rPr>
        <w:t xml:space="preserve">   </w:t>
      </w:r>
      <w:r>
        <w:rPr>
          <w:rFonts w:hint="eastAsia" w:ascii="宋体" w:hAnsi="宋体" w:eastAsia="宋体"/>
          <w:b/>
          <w:bCs/>
          <w:color w:val="000000"/>
          <w:kern w:val="0"/>
          <w:sz w:val="24"/>
          <w:szCs w:val="24"/>
        </w:rPr>
        <w:t>日止。</w:t>
      </w:r>
    </w:p>
    <w:p>
      <w:pPr>
        <w:spacing w:line="360" w:lineRule="auto"/>
        <w:ind w:firstLine="482" w:firstLineChars="200"/>
        <w:rPr>
          <w:rFonts w:asciiTheme="majorEastAsia" w:hAnsiTheme="majorEastAsia" w:eastAsiaTheme="majorEastAsia" w:cstheme="minorBidi"/>
          <w:b/>
          <w:bCs/>
          <w:sz w:val="24"/>
          <w:szCs w:val="24"/>
        </w:rPr>
      </w:pPr>
      <w:r>
        <w:rPr>
          <w:rFonts w:hint="eastAsia" w:asciiTheme="majorEastAsia" w:hAnsiTheme="majorEastAsia" w:eastAsiaTheme="majorEastAsia" w:cstheme="minorBidi"/>
          <w:b/>
          <w:sz w:val="24"/>
          <w:szCs w:val="24"/>
        </w:rPr>
        <w:t>乙方投标时服务措施中提供的详细服务方案、承诺函将构成服务期内的考核细则</w:t>
      </w:r>
      <w:r>
        <w:rPr>
          <w:rFonts w:hint="eastAsia" w:asciiTheme="majorEastAsia" w:hAnsiTheme="majorEastAsia" w:eastAsiaTheme="majorEastAsia" w:cstheme="minorBidi"/>
          <w:b/>
          <w:bCs/>
          <w:sz w:val="24"/>
          <w:szCs w:val="24"/>
        </w:rPr>
        <w:t>，如成交供应商在合同服务期内，不能按照考核细则履行合同，则采购单位有权立即终止合同，另行招标，所产生的一切后果由成交供应商承担。</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第五条 日常维护保养费</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维护保养费总计：</w:t>
      </w:r>
    </w:p>
    <w:tbl>
      <w:tblPr>
        <w:tblStyle w:val="142"/>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218"/>
        <w:gridCol w:w="924"/>
        <w:gridCol w:w="1009"/>
        <w:gridCol w:w="1679"/>
        <w:gridCol w:w="1138"/>
        <w:gridCol w:w="850"/>
        <w:gridCol w:w="1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场地</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电梯类型</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电梯 品牌</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电梯型号</w:t>
            </w:r>
          </w:p>
        </w:tc>
        <w:tc>
          <w:tcPr>
            <w:tcW w:w="1138" w:type="dxa"/>
            <w:vAlign w:val="center"/>
          </w:tcPr>
          <w:p>
            <w:pPr>
              <w:spacing w:line="360" w:lineRule="auto"/>
              <w:ind w:left="240" w:hanging="240" w:hangingChars="100"/>
              <w:jc w:val="center"/>
              <w:rPr>
                <w:rFonts w:ascii="宋体" w:hAnsi="宋体" w:eastAsia="宋体"/>
                <w:sz w:val="24"/>
                <w:szCs w:val="24"/>
              </w:rPr>
            </w:pPr>
            <w:r>
              <w:rPr>
                <w:rFonts w:hint="eastAsia" w:ascii="宋体" w:hAnsi="宋体" w:eastAsia="宋体"/>
                <w:sz w:val="24"/>
                <w:szCs w:val="24"/>
              </w:rPr>
              <w:t>载重量</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数量</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维保期限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蔬菜大厅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水果大厅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水产大厅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4</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干货大厅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continue"/>
            <w:vAlign w:val="center"/>
          </w:tcPr>
          <w:p>
            <w:pPr>
              <w:spacing w:line="360" w:lineRule="auto"/>
              <w:jc w:val="center"/>
              <w:rPr>
                <w:rFonts w:ascii="宋体" w:hAnsi="宋体" w:eastAsia="宋体"/>
                <w:sz w:val="24"/>
                <w:szCs w:val="24"/>
              </w:rPr>
            </w:pP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干货大厅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迅达</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S80L5000/0.5</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粮油大厅</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货梯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三菱</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HOPE-IIG</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5000kg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4台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6</w:t>
            </w:r>
          </w:p>
        </w:tc>
        <w:tc>
          <w:tcPr>
            <w:tcW w:w="1218"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展销楼</w:t>
            </w:r>
          </w:p>
        </w:tc>
        <w:tc>
          <w:tcPr>
            <w:tcW w:w="924"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客梯</w:t>
            </w:r>
          </w:p>
        </w:tc>
        <w:tc>
          <w:tcPr>
            <w:tcW w:w="1009"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奥的斯</w:t>
            </w:r>
          </w:p>
        </w:tc>
        <w:tc>
          <w:tcPr>
            <w:tcW w:w="1679"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GeN2Comfort</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1275kg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2台</w:t>
            </w:r>
          </w:p>
        </w:tc>
        <w:tc>
          <w:tcPr>
            <w:tcW w:w="1825"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Merge w:val="continue"/>
            <w:vAlign w:val="center"/>
          </w:tcPr>
          <w:p>
            <w:pPr>
              <w:spacing w:line="360" w:lineRule="auto"/>
              <w:jc w:val="center"/>
              <w:rPr>
                <w:rFonts w:ascii="宋体" w:hAnsi="宋体" w:eastAsia="宋体"/>
                <w:sz w:val="24"/>
                <w:szCs w:val="24"/>
              </w:rPr>
            </w:pPr>
          </w:p>
        </w:tc>
        <w:tc>
          <w:tcPr>
            <w:tcW w:w="1218" w:type="dxa"/>
            <w:vMerge w:val="continue"/>
            <w:vAlign w:val="center"/>
          </w:tcPr>
          <w:p>
            <w:pPr>
              <w:spacing w:line="360" w:lineRule="auto"/>
              <w:jc w:val="center"/>
              <w:rPr>
                <w:rFonts w:ascii="宋体" w:hAnsi="宋体" w:eastAsia="宋体"/>
                <w:sz w:val="24"/>
                <w:szCs w:val="24"/>
              </w:rPr>
            </w:pPr>
          </w:p>
        </w:tc>
        <w:tc>
          <w:tcPr>
            <w:tcW w:w="924" w:type="dxa"/>
            <w:vMerge w:val="continue"/>
            <w:vAlign w:val="center"/>
          </w:tcPr>
          <w:p>
            <w:pPr>
              <w:spacing w:line="360" w:lineRule="auto"/>
              <w:jc w:val="center"/>
              <w:rPr>
                <w:rFonts w:ascii="宋体" w:hAnsi="宋体" w:eastAsia="宋体"/>
                <w:sz w:val="24"/>
                <w:szCs w:val="24"/>
              </w:rPr>
            </w:pPr>
          </w:p>
        </w:tc>
        <w:tc>
          <w:tcPr>
            <w:tcW w:w="1009" w:type="dxa"/>
            <w:vMerge w:val="continue"/>
            <w:vAlign w:val="center"/>
          </w:tcPr>
          <w:p>
            <w:pPr>
              <w:spacing w:line="360" w:lineRule="auto"/>
              <w:jc w:val="center"/>
              <w:rPr>
                <w:rFonts w:ascii="宋体" w:hAnsi="宋体" w:eastAsia="宋体"/>
                <w:sz w:val="24"/>
                <w:szCs w:val="24"/>
              </w:rPr>
            </w:pPr>
          </w:p>
        </w:tc>
        <w:tc>
          <w:tcPr>
            <w:tcW w:w="1679" w:type="dxa"/>
            <w:vMerge w:val="continue"/>
            <w:vAlign w:val="center"/>
          </w:tcPr>
          <w:p>
            <w:pPr>
              <w:spacing w:line="360" w:lineRule="auto"/>
              <w:jc w:val="center"/>
              <w:rPr>
                <w:rFonts w:ascii="宋体" w:hAnsi="宋体" w:eastAsia="宋体"/>
                <w:sz w:val="24"/>
                <w:szCs w:val="24"/>
              </w:rPr>
            </w:pP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1000kg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1台</w:t>
            </w:r>
          </w:p>
        </w:tc>
        <w:tc>
          <w:tcPr>
            <w:tcW w:w="1825" w:type="dxa"/>
            <w:vMerge w:val="continue"/>
            <w:vAlign w:val="center"/>
          </w:tcPr>
          <w:p>
            <w:pPr>
              <w:spacing w:line="360" w:lineRule="auto"/>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531"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7</w:t>
            </w:r>
          </w:p>
        </w:tc>
        <w:tc>
          <w:tcPr>
            <w:tcW w:w="121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商务楼</w:t>
            </w:r>
          </w:p>
        </w:tc>
        <w:tc>
          <w:tcPr>
            <w:tcW w:w="92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客梯</w:t>
            </w:r>
          </w:p>
        </w:tc>
        <w:tc>
          <w:tcPr>
            <w:tcW w:w="10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奥的斯</w:t>
            </w:r>
          </w:p>
        </w:tc>
        <w:tc>
          <w:tcPr>
            <w:tcW w:w="167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GeN2Comfort</w:t>
            </w:r>
          </w:p>
        </w:tc>
        <w:tc>
          <w:tcPr>
            <w:tcW w:w="113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1275kg</w:t>
            </w:r>
          </w:p>
        </w:tc>
        <w:tc>
          <w:tcPr>
            <w:tcW w:w="85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2台</w:t>
            </w:r>
          </w:p>
        </w:tc>
        <w:tc>
          <w:tcPr>
            <w:tcW w:w="1825"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2023.1.16—</w:t>
            </w:r>
          </w:p>
        </w:tc>
      </w:tr>
    </w:tbl>
    <w:p>
      <w:pPr>
        <w:spacing w:line="360" w:lineRule="auto"/>
        <w:rPr>
          <w:rFonts w:hint="eastAsia" w:ascii="宋体" w:hAnsi="宋体" w:eastAsia="宋体"/>
          <w:b/>
          <w:color w:val="000000"/>
          <w:sz w:val="24"/>
          <w:szCs w:val="24"/>
          <w:u w:val="single"/>
          <w:lang w:val="en-US" w:eastAsia="zh-CN"/>
        </w:rPr>
      </w:pPr>
    </w:p>
    <w:p>
      <w:pPr>
        <w:spacing w:line="360" w:lineRule="auto"/>
        <w:ind w:firstLine="482" w:firstLineChars="200"/>
        <w:rPr>
          <w:rFonts w:hint="eastAsia" w:ascii="宋体" w:hAnsi="宋体" w:eastAsia="宋体"/>
          <w:b/>
          <w:color w:val="000000"/>
          <w:sz w:val="24"/>
          <w:szCs w:val="24"/>
          <w:u w:val="single"/>
        </w:rPr>
      </w:pPr>
      <w:r>
        <w:rPr>
          <w:rFonts w:hint="eastAsia" w:ascii="宋体" w:hAnsi="宋体" w:eastAsia="宋体"/>
          <w:b/>
          <w:color w:val="000000"/>
          <w:sz w:val="24"/>
          <w:szCs w:val="24"/>
          <w:u w:val="single"/>
          <w:lang w:val="en-US" w:eastAsia="zh-CN"/>
        </w:rPr>
        <w:t>2、</w:t>
      </w:r>
      <w:r>
        <w:rPr>
          <w:rFonts w:hint="eastAsia" w:ascii="宋体" w:hAnsi="宋体" w:eastAsia="宋体"/>
          <w:b/>
          <w:color w:val="000000"/>
          <w:sz w:val="24"/>
          <w:szCs w:val="24"/>
          <w:u w:val="single"/>
        </w:rPr>
        <w:t>服务期（</w:t>
      </w:r>
      <w:r>
        <w:rPr>
          <w:rFonts w:hint="eastAsia" w:ascii="宋体" w:hAnsi="宋体" w:eastAsia="宋体"/>
          <w:b/>
          <w:color w:val="000000"/>
          <w:sz w:val="24"/>
          <w:szCs w:val="24"/>
          <w:u w:val="single"/>
          <w:lang w:val="en-US" w:eastAsia="zh-CN"/>
        </w:rPr>
        <w:t xml:space="preserve">  </w:t>
      </w:r>
      <w:r>
        <w:rPr>
          <w:rFonts w:hint="eastAsia" w:ascii="宋体" w:hAnsi="宋体" w:eastAsia="宋体"/>
          <w:b/>
          <w:color w:val="000000"/>
          <w:sz w:val="24"/>
          <w:szCs w:val="24"/>
          <w:u w:val="single"/>
        </w:rPr>
        <w:t>年</w:t>
      </w:r>
      <w:r>
        <w:rPr>
          <w:rFonts w:hint="eastAsia" w:ascii="宋体" w:hAnsi="宋体" w:eastAsia="宋体"/>
          <w:b/>
          <w:color w:val="000000"/>
          <w:sz w:val="24"/>
          <w:szCs w:val="24"/>
          <w:u w:val="single"/>
          <w:lang w:val="en-US" w:eastAsia="zh-CN"/>
        </w:rPr>
        <w:t xml:space="preserve">  </w:t>
      </w:r>
      <w:r>
        <w:rPr>
          <w:rFonts w:hint="eastAsia" w:ascii="宋体" w:hAnsi="宋体" w:eastAsia="宋体"/>
          <w:b/>
          <w:color w:val="000000"/>
          <w:sz w:val="24"/>
          <w:szCs w:val="24"/>
          <w:u w:val="single"/>
        </w:rPr>
        <w:t>月</w:t>
      </w:r>
      <w:r>
        <w:rPr>
          <w:rFonts w:hint="eastAsia" w:ascii="宋体" w:hAnsi="宋体" w:eastAsia="宋体"/>
          <w:b/>
          <w:color w:val="000000"/>
          <w:sz w:val="24"/>
          <w:szCs w:val="24"/>
          <w:u w:val="single"/>
          <w:lang w:val="en-US" w:eastAsia="zh-CN"/>
        </w:rPr>
        <w:t xml:space="preserve">  </w:t>
      </w:r>
      <w:r>
        <w:rPr>
          <w:rFonts w:hint="eastAsia" w:ascii="宋体" w:hAnsi="宋体" w:eastAsia="宋体"/>
          <w:b/>
          <w:color w:val="000000"/>
          <w:sz w:val="24"/>
          <w:szCs w:val="24"/>
          <w:u w:val="single"/>
        </w:rPr>
        <w:t>日  —</w:t>
      </w:r>
      <w:r>
        <w:rPr>
          <w:rFonts w:hint="eastAsia" w:ascii="宋体" w:hAnsi="宋体" w:eastAsia="宋体"/>
          <w:b/>
          <w:color w:val="000000"/>
          <w:sz w:val="24"/>
          <w:szCs w:val="24"/>
          <w:u w:val="single"/>
          <w:lang w:val="en-US" w:eastAsia="zh-CN"/>
        </w:rPr>
        <w:t xml:space="preserve">  </w:t>
      </w:r>
      <w:r>
        <w:rPr>
          <w:rFonts w:hint="eastAsia" w:ascii="宋体" w:hAnsi="宋体" w:eastAsia="宋体"/>
          <w:b/>
          <w:color w:val="000000"/>
          <w:sz w:val="24"/>
          <w:szCs w:val="24"/>
          <w:u w:val="single"/>
        </w:rPr>
        <w:t>年</w:t>
      </w:r>
      <w:r>
        <w:rPr>
          <w:rFonts w:hint="eastAsia" w:ascii="宋体" w:hAnsi="宋体" w:eastAsia="宋体"/>
          <w:b/>
          <w:color w:val="000000"/>
          <w:sz w:val="24"/>
          <w:szCs w:val="24"/>
          <w:u w:val="single"/>
          <w:lang w:val="en-US" w:eastAsia="zh-CN"/>
        </w:rPr>
        <w:t xml:space="preserve">  </w:t>
      </w:r>
      <w:r>
        <w:rPr>
          <w:rFonts w:hint="eastAsia" w:ascii="宋体" w:hAnsi="宋体" w:eastAsia="宋体"/>
          <w:b/>
          <w:color w:val="000000"/>
          <w:sz w:val="24"/>
          <w:szCs w:val="24"/>
          <w:u w:val="single"/>
        </w:rPr>
        <w:t>月</w:t>
      </w:r>
      <w:r>
        <w:rPr>
          <w:rFonts w:hint="eastAsia" w:ascii="宋体" w:hAnsi="宋体" w:eastAsia="宋体"/>
          <w:b/>
          <w:color w:val="000000"/>
          <w:sz w:val="24"/>
          <w:szCs w:val="24"/>
          <w:u w:val="single"/>
          <w:lang w:val="en-US" w:eastAsia="zh-CN"/>
        </w:rPr>
        <w:t xml:space="preserve">  </w:t>
      </w:r>
      <w:r>
        <w:rPr>
          <w:rFonts w:hint="eastAsia" w:ascii="宋体" w:hAnsi="宋体" w:eastAsia="宋体"/>
          <w:b/>
          <w:color w:val="000000"/>
          <w:sz w:val="24"/>
          <w:szCs w:val="24"/>
          <w:u w:val="single"/>
        </w:rPr>
        <w:t>日，共27台）</w:t>
      </w:r>
      <w:r>
        <w:rPr>
          <w:rFonts w:hint="eastAsia" w:ascii="宋体" w:hAnsi="宋体" w:eastAsia="宋体"/>
          <w:b/>
          <w:color w:val="000000"/>
          <w:sz w:val="24"/>
          <w:szCs w:val="24"/>
          <w:u w:val="single"/>
          <w:lang w:eastAsia="zh-CN"/>
        </w:rPr>
        <w:t>，合同</w:t>
      </w:r>
      <w:r>
        <w:rPr>
          <w:rFonts w:hint="eastAsia" w:ascii="宋体" w:hAnsi="宋体" w:eastAsia="宋体"/>
          <w:b/>
          <w:color w:val="000000"/>
          <w:sz w:val="24"/>
          <w:szCs w:val="24"/>
          <w:u w:val="single"/>
        </w:rPr>
        <w:t xml:space="preserve">总价：       元（大写：      </w:t>
      </w:r>
      <w:r>
        <w:rPr>
          <w:rFonts w:hint="eastAsia" w:ascii="宋体" w:hAnsi="宋体" w:eastAsia="宋体"/>
          <w:b/>
          <w:color w:val="000000"/>
          <w:sz w:val="24"/>
          <w:szCs w:val="24"/>
          <w:u w:val="single"/>
          <w:lang w:eastAsia="zh-CN"/>
        </w:rPr>
        <w:t>元</w:t>
      </w:r>
      <w:r>
        <w:rPr>
          <w:rFonts w:hint="eastAsia" w:ascii="宋体" w:hAnsi="宋体" w:eastAsia="宋体"/>
          <w:b/>
          <w:color w:val="000000"/>
          <w:sz w:val="24"/>
          <w:szCs w:val="24"/>
          <w:u w:val="single"/>
        </w:rPr>
        <w:t>整）</w:t>
      </w:r>
    </w:p>
    <w:p>
      <w:pPr>
        <w:spacing w:line="360" w:lineRule="auto"/>
        <w:ind w:firstLine="482" w:firstLineChars="200"/>
      </w:pPr>
      <w:r>
        <w:rPr>
          <w:rFonts w:hint="eastAsia" w:ascii="Calibri" w:hAnsi="Calibri" w:eastAsia="宋体" w:cs="宋体"/>
          <w:b/>
          <w:bCs/>
          <w:sz w:val="24"/>
          <w:szCs w:val="24"/>
          <w:lang w:val="en-US" w:eastAsia="zh-CN"/>
        </w:rPr>
        <w:t>3、</w:t>
      </w:r>
      <w:r>
        <w:rPr>
          <w:rFonts w:hint="eastAsia" w:ascii="Calibri" w:hAnsi="Calibri" w:eastAsia="宋体" w:cs="宋体"/>
          <w:b/>
          <w:bCs/>
          <w:sz w:val="24"/>
          <w:szCs w:val="24"/>
        </w:rPr>
        <w:t>履约保证金：本合同的履约保证金为合同价的5%，为</w:t>
      </w:r>
      <w:r>
        <w:rPr>
          <w:rFonts w:hint="eastAsia" w:ascii="Calibri" w:hAnsi="Calibri" w:eastAsia="宋体" w:cs="宋体"/>
          <w:b/>
          <w:bCs/>
          <w:sz w:val="24"/>
          <w:szCs w:val="24"/>
          <w:u w:val="single"/>
          <w:lang w:val="en-US" w:eastAsia="zh-CN"/>
        </w:rPr>
        <w:t xml:space="preserve">     </w:t>
      </w:r>
      <w:r>
        <w:rPr>
          <w:rFonts w:hint="eastAsia" w:ascii="Calibri" w:hAnsi="Calibri" w:eastAsia="宋体" w:cs="宋体"/>
          <w:b/>
          <w:bCs/>
          <w:sz w:val="24"/>
          <w:szCs w:val="24"/>
        </w:rPr>
        <w:t>元。</w:t>
      </w:r>
      <w:r>
        <w:rPr>
          <w:rFonts w:hint="eastAsia" w:ascii="宋体" w:hAnsi="宋体" w:eastAsia="宋体"/>
          <w:bCs/>
          <w:sz w:val="24"/>
          <w:szCs w:val="21"/>
        </w:rPr>
        <w:t>甲方</w:t>
      </w:r>
      <w:bookmarkStart w:id="10" w:name="_GoBack"/>
      <w:bookmarkEnd w:id="10"/>
      <w:r>
        <w:rPr>
          <w:rFonts w:hint="eastAsia" w:ascii="宋体" w:hAnsi="宋体" w:eastAsia="宋体"/>
          <w:bCs/>
          <w:sz w:val="24"/>
          <w:szCs w:val="21"/>
        </w:rPr>
        <w:t>对乙方的经济处罚或乙方对甲方设备造成损坏的相关赔偿，如乙方在10个工作日内不履行，则甲方有权从乙方履约保证金中扣除。</w:t>
      </w:r>
      <w:r>
        <w:rPr>
          <w:rFonts w:ascii="宋体" w:hAnsi="宋体" w:eastAsia="宋体" w:cs="宋体"/>
          <w:kern w:val="0"/>
          <w:sz w:val="24"/>
          <w:szCs w:val="24"/>
        </w:rPr>
        <w:t>履约保证金在</w:t>
      </w:r>
      <w:r>
        <w:rPr>
          <w:rFonts w:hint="eastAsia" w:ascii="宋体" w:hAnsi="宋体" w:eastAsia="宋体" w:cs="宋体"/>
          <w:kern w:val="0"/>
          <w:sz w:val="24"/>
          <w:szCs w:val="24"/>
        </w:rPr>
        <w:t>服务期结束</w:t>
      </w:r>
      <w:r>
        <w:rPr>
          <w:rFonts w:ascii="宋体" w:hAnsi="宋体" w:eastAsia="宋体" w:cs="宋体"/>
          <w:kern w:val="0"/>
          <w:sz w:val="24"/>
          <w:szCs w:val="24"/>
        </w:rPr>
        <w:t>后按实际履约情况退还（无息）。</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第六条  结算方式：先服务后收费</w:t>
      </w:r>
    </w:p>
    <w:p>
      <w:pPr>
        <w:spacing w:line="360" w:lineRule="auto"/>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甲方按</w:t>
      </w:r>
      <w:r>
        <w:rPr>
          <w:rFonts w:hint="eastAsia" w:ascii="宋体" w:hAnsi="宋体" w:eastAsia="宋体" w:cs="宋体"/>
          <w:b/>
          <w:color w:val="000000"/>
          <w:kern w:val="0"/>
          <w:sz w:val="24"/>
          <w:szCs w:val="24"/>
        </w:rPr>
        <w:t xml:space="preserve">（   </w:t>
      </w:r>
      <w:r>
        <w:rPr>
          <w:rFonts w:hint="eastAsia" w:ascii="MS Mincho" w:hAnsi="MS Mincho" w:eastAsia="MS Mincho" w:cs="MS Mincho"/>
          <w:b/>
          <w:color w:val="000000"/>
          <w:kern w:val="0"/>
          <w:sz w:val="24"/>
          <w:szCs w:val="24"/>
        </w:rPr>
        <w:t>☑</w:t>
      </w:r>
      <w:r>
        <w:rPr>
          <w:rFonts w:hint="eastAsia" w:ascii="宋体" w:hAnsi="宋体" w:eastAsia="宋体" w:cs="宋体"/>
          <w:b/>
          <w:color w:val="000000"/>
          <w:kern w:val="0"/>
          <w:sz w:val="24"/>
          <w:szCs w:val="24"/>
        </w:rPr>
        <w:t>季   □半年   □年 ）</w:t>
      </w:r>
      <w:r>
        <w:rPr>
          <w:rFonts w:hint="eastAsia" w:ascii="宋体" w:hAnsi="宋体" w:eastAsia="宋体" w:cs="宋体"/>
          <w:color w:val="000000"/>
          <w:kern w:val="0"/>
          <w:sz w:val="24"/>
          <w:szCs w:val="24"/>
        </w:rPr>
        <w:t>支付维护保养费。</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付款方式/支付时间：每个结算期满后的10日内支付合同总价的25%，</w:t>
      </w:r>
      <w:r>
        <w:rPr>
          <w:rFonts w:hint="eastAsia" w:ascii="宋体" w:hAnsi="宋体" w:eastAsia="宋体"/>
          <w:color w:val="333333"/>
          <w:sz w:val="24"/>
          <w:szCs w:val="24"/>
        </w:rPr>
        <w:t>由乙方提供等额服务费增值税发票，并经采购人审核后付款。</w:t>
      </w:r>
    </w:p>
    <w:p>
      <w:pPr>
        <w:spacing w:line="360" w:lineRule="auto"/>
        <w:rPr>
          <w:rFonts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第七条  日常维护保养方式：□清包     </w:t>
      </w:r>
      <w:r>
        <w:rPr>
          <w:rFonts w:ascii="宋体" w:hAnsi="宋体" w:eastAsia="宋体" w:cs="宋体"/>
          <w:b/>
          <w:color w:val="000000"/>
          <w:kern w:val="0"/>
          <w:sz w:val="24"/>
          <w:szCs w:val="24"/>
        </w:rPr>
        <w:t>√</w:t>
      </w:r>
      <w:r>
        <w:rPr>
          <w:rFonts w:hint="eastAsia" w:ascii="宋体" w:hAnsi="宋体" w:eastAsia="宋体" w:cs="宋体"/>
          <w:b/>
          <w:color w:val="000000"/>
          <w:kern w:val="0"/>
          <w:sz w:val="24"/>
          <w:szCs w:val="24"/>
        </w:rPr>
        <w:t>半包    □大包</w:t>
      </w:r>
      <w:r>
        <w:rPr>
          <w:rFonts w:hint="eastAsia" w:ascii="宋体" w:hAnsi="宋体" w:eastAsia="宋体" w:cs="宋体"/>
          <w:color w:val="000000"/>
          <w:kern w:val="0"/>
          <w:sz w:val="24"/>
          <w:szCs w:val="24"/>
        </w:rPr>
        <w:t>。</w:t>
      </w:r>
    </w:p>
    <w:p>
      <w:pPr>
        <w:spacing w:line="360" w:lineRule="auto"/>
        <w:ind w:firstLine="480" w:firstLineChars="200"/>
        <w:jc w:val="left"/>
        <w:rPr>
          <w:rFonts w:ascii="宋体" w:hAnsi="宋体" w:eastAsia="宋体" w:cs="ËÎÌå"/>
          <w:color w:val="000000"/>
          <w:kern w:val="0"/>
          <w:sz w:val="24"/>
          <w:szCs w:val="24"/>
        </w:rPr>
      </w:pPr>
      <w:r>
        <w:rPr>
          <w:rFonts w:hint="eastAsia" w:ascii="宋体" w:hAnsi="宋体" w:eastAsia="宋体" w:cs="ËÎÌå"/>
          <w:color w:val="000000"/>
          <w:kern w:val="0"/>
          <w:sz w:val="24"/>
          <w:szCs w:val="24"/>
        </w:rPr>
        <w:t>维保中更换零部件为乙方负责日常损耗的及200元以内的配件，超出200元以上的配件，先由乙方申报，甲方审核同意后再由乙方采购进行更换，费用另行结算。</w:t>
      </w:r>
    </w:p>
    <w:p>
      <w:pPr>
        <w:spacing w:line="360" w:lineRule="auto"/>
        <w:jc w:val="left"/>
        <w:rPr>
          <w:rFonts w:ascii="宋体" w:hAnsi="宋体" w:eastAsia="宋体" w:cs="ËÎÌå"/>
          <w:color w:val="000000"/>
          <w:kern w:val="0"/>
          <w:sz w:val="24"/>
          <w:szCs w:val="24"/>
        </w:rPr>
      </w:pPr>
      <w:r>
        <w:rPr>
          <w:rFonts w:hint="eastAsia" w:ascii="宋体" w:hAnsi="宋体" w:eastAsia="宋体" w:cs="ËÎÌå"/>
          <w:b/>
          <w:color w:val="000000"/>
          <w:kern w:val="0"/>
          <w:sz w:val="24"/>
          <w:szCs w:val="24"/>
        </w:rPr>
        <w:t>第八条  乙方为甲方提供24小时维护保养</w:t>
      </w:r>
      <w:r>
        <w:rPr>
          <w:rFonts w:hint="eastAsia" w:ascii="宋体" w:hAnsi="宋体" w:eastAsia="宋体" w:cs="宋体"/>
          <w:b/>
          <w:color w:val="000000"/>
          <w:kern w:val="0"/>
          <w:sz w:val="24"/>
          <w:szCs w:val="24"/>
        </w:rPr>
        <w:t>服务热线电话：</w:t>
      </w:r>
    </w:p>
    <w:p>
      <w:pPr>
        <w:spacing w:line="360" w:lineRule="auto"/>
        <w:rPr>
          <w:rFonts w:ascii="宋体" w:hAnsi="宋体" w:eastAsia="宋体" w:cs="ËÎÌå"/>
          <w:color w:val="000000"/>
          <w:kern w:val="0"/>
          <w:sz w:val="24"/>
          <w:szCs w:val="24"/>
        </w:rPr>
      </w:pPr>
      <w:r>
        <w:rPr>
          <w:rFonts w:hint="eastAsia" w:ascii="宋体" w:hAnsi="宋体" w:eastAsia="宋体" w:cs="ËÎÌå"/>
          <w:b/>
          <w:color w:val="000000"/>
          <w:kern w:val="0"/>
          <w:sz w:val="24"/>
          <w:szCs w:val="24"/>
        </w:rPr>
        <w:t xml:space="preserve">第九条  </w:t>
      </w:r>
      <w:r>
        <w:rPr>
          <w:rFonts w:hint="eastAsia" w:ascii="宋体" w:hAnsi="宋体" w:eastAsia="宋体" w:cs="ËÎÌå"/>
          <w:color w:val="000000"/>
          <w:kern w:val="0"/>
          <w:sz w:val="24"/>
          <w:szCs w:val="24"/>
        </w:rPr>
        <w:t>乙方提供24小时快捷应急服务。</w:t>
      </w:r>
    </w:p>
    <w:p>
      <w:pPr>
        <w:spacing w:line="360" w:lineRule="auto"/>
        <w:rPr>
          <w:rFonts w:ascii="宋体" w:hAnsi="宋体" w:eastAsia="宋体" w:cs="ËÎÌå"/>
          <w:b/>
          <w:color w:val="000000"/>
          <w:kern w:val="0"/>
          <w:sz w:val="24"/>
          <w:szCs w:val="24"/>
          <w:u w:val="single"/>
        </w:rPr>
      </w:pPr>
      <w:r>
        <w:rPr>
          <w:rFonts w:hint="eastAsia" w:ascii="宋体" w:hAnsi="宋体" w:eastAsia="宋体"/>
          <w:b/>
          <w:color w:val="000000"/>
          <w:sz w:val="24"/>
          <w:szCs w:val="24"/>
        </w:rPr>
        <w:t>第十条  乙方权利、义务</w:t>
      </w:r>
    </w:p>
    <w:p>
      <w:pPr>
        <w:spacing w:line="360" w:lineRule="auto"/>
        <w:ind w:firstLine="361" w:firstLineChars="150"/>
        <w:rPr>
          <w:rFonts w:ascii="宋体" w:hAnsi="宋体" w:eastAsia="宋体"/>
          <w:b/>
          <w:color w:val="000000"/>
          <w:sz w:val="24"/>
          <w:szCs w:val="24"/>
        </w:rPr>
      </w:pPr>
      <w:r>
        <w:rPr>
          <w:rFonts w:hint="eastAsia" w:ascii="宋体" w:hAnsi="宋体" w:eastAsia="宋体"/>
          <w:b/>
          <w:color w:val="000000"/>
          <w:sz w:val="24"/>
          <w:szCs w:val="24"/>
        </w:rPr>
        <w:t>（一）权利</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1、甲方有权监督乙方按照合同约定履行维护保养义务，发出故障通知或提出建议。</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2、甲方有权要求乙方保障电梯的正常运行。乙方的维护保养达不到合同约定的维护保养标准或要求的，甲方安全管理人员有权拒绝在维护保养记录上签字。</w:t>
      </w:r>
    </w:p>
    <w:p>
      <w:pPr>
        <w:spacing w:line="360" w:lineRule="auto"/>
        <w:ind w:firstLine="361" w:firstLineChars="150"/>
        <w:rPr>
          <w:rFonts w:ascii="宋体" w:hAnsi="宋体" w:eastAsia="宋体"/>
          <w:b/>
          <w:color w:val="000000"/>
          <w:sz w:val="24"/>
          <w:szCs w:val="24"/>
        </w:rPr>
      </w:pPr>
      <w:r>
        <w:rPr>
          <w:rFonts w:hint="eastAsia" w:ascii="宋体" w:hAnsi="宋体" w:eastAsia="宋体"/>
          <w:b/>
          <w:color w:val="000000"/>
          <w:sz w:val="24"/>
          <w:szCs w:val="24"/>
        </w:rPr>
        <w:t>（二）义务</w:t>
      </w:r>
    </w:p>
    <w:p>
      <w:pPr>
        <w:spacing w:line="360" w:lineRule="auto"/>
        <w:ind w:firstLine="480" w:firstLineChars="200"/>
        <w:rPr>
          <w:rFonts w:ascii="宋体" w:hAnsi="宋体" w:eastAsia="宋体"/>
          <w:color w:val="000000"/>
          <w:kern w:val="0"/>
          <w:sz w:val="24"/>
          <w:szCs w:val="24"/>
        </w:rPr>
      </w:pPr>
      <w:r>
        <w:rPr>
          <w:rFonts w:hint="eastAsia" w:ascii="宋体" w:hAnsi="宋体" w:eastAsia="宋体"/>
          <w:color w:val="000000"/>
          <w:sz w:val="24"/>
          <w:szCs w:val="24"/>
        </w:rPr>
        <w:t>1、</w:t>
      </w:r>
      <w:r>
        <w:rPr>
          <w:rFonts w:hint="eastAsia" w:ascii="宋体" w:hAnsi="宋体" w:eastAsia="宋体"/>
          <w:b/>
          <w:color w:val="000000"/>
          <w:sz w:val="24"/>
          <w:szCs w:val="24"/>
        </w:rPr>
        <w:t>甲方应当设置电梯的安全管理机构或者配备电梯安全管理人员，至少有一名取得《特种设备业人员证》的电梯安全管理人员承担相应的管理职责</w:t>
      </w:r>
      <w:r>
        <w:rPr>
          <w:rFonts w:hint="eastAsia" w:ascii="宋体" w:hAnsi="宋体" w:eastAsia="宋体"/>
          <w:color w:val="000000"/>
          <w:sz w:val="24"/>
          <w:szCs w:val="24"/>
        </w:rPr>
        <w:t>。应当建立自己的以岗位责任制为核心的</w:t>
      </w:r>
      <w:r>
        <w:rPr>
          <w:rFonts w:hint="eastAsia" w:ascii="宋体" w:hAnsi="宋体" w:eastAsia="宋体"/>
          <w:b/>
          <w:color w:val="000000"/>
          <w:sz w:val="24"/>
          <w:szCs w:val="24"/>
        </w:rPr>
        <w:t>电梯使用和运营安全管理制度</w:t>
      </w:r>
      <w:r>
        <w:rPr>
          <w:rFonts w:hint="eastAsia" w:ascii="宋体" w:hAnsi="宋体" w:eastAsia="宋体"/>
          <w:color w:val="000000"/>
          <w:sz w:val="24"/>
          <w:szCs w:val="24"/>
        </w:rPr>
        <w:t>，并且严格执行。</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kern w:val="0"/>
          <w:sz w:val="24"/>
          <w:szCs w:val="24"/>
        </w:rPr>
        <w:t>2、甲</w:t>
      </w:r>
      <w:r>
        <w:rPr>
          <w:rFonts w:hint="eastAsia" w:ascii="宋体" w:hAnsi="宋体" w:eastAsia="宋体"/>
          <w:color w:val="000000"/>
          <w:sz w:val="24"/>
          <w:szCs w:val="24"/>
        </w:rPr>
        <w:t>方</w:t>
      </w:r>
      <w:r>
        <w:rPr>
          <w:rFonts w:hint="eastAsia" w:ascii="宋体" w:hAnsi="宋体" w:eastAsia="宋体"/>
          <w:color w:val="000000"/>
          <w:kern w:val="0"/>
          <w:sz w:val="24"/>
          <w:szCs w:val="24"/>
        </w:rPr>
        <w:t>应当按照安全技术规范的要求每年进行一次电梯定期检验。在《安全检验合格》标志规定的检验有效期届满前1个月，向检验机构提出定期检验申请。未经定期检验或者检验不合格的电梯，不继续使用。电梯投入使用前应当到市质监局特种设备处办理使用登记。具体电梯年检手续委托乙方办理，相关年检直接费用由甲方负责。</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olor w:val="000000"/>
          <w:sz w:val="24"/>
          <w:szCs w:val="24"/>
        </w:rPr>
        <w:t>3、甲方</w:t>
      </w:r>
      <w:r>
        <w:rPr>
          <w:rFonts w:hint="eastAsia" w:ascii="宋体" w:hAnsi="宋体" w:eastAsia="宋体" w:cs="宋体"/>
          <w:color w:val="000000"/>
          <w:kern w:val="0"/>
          <w:sz w:val="24"/>
          <w:szCs w:val="24"/>
        </w:rPr>
        <w:t>应当对每台电梯建立完整的安全技术档案，并供乙方查询。安全技术档案至少包括以下内容：</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（1） 产品合格证；</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（2） 使用维护说明书；</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（3） 电气原理图；</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（4） 电气敷设图；</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（5） 安装说明书；</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（6） 电梯整机、安全部件和主要部件型式试验报告结论副本或结论；</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（7） 电梯运行记录；</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（8） 故障及事故记录；</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（9） 电梯施工自检记录；</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（10）上年度的检验报告。</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4、保持</w:t>
      </w:r>
      <w:r>
        <w:rPr>
          <w:rFonts w:hint="eastAsia" w:ascii="宋体" w:hAnsi="宋体" w:eastAsia="宋体" w:cs="宋体"/>
          <w:b/>
          <w:color w:val="000000"/>
          <w:kern w:val="0"/>
          <w:sz w:val="24"/>
          <w:szCs w:val="24"/>
        </w:rPr>
        <w:t>电梯紧急报警装置能够随时与值班人员有效联系</w:t>
      </w:r>
      <w:r>
        <w:rPr>
          <w:rFonts w:hint="eastAsia" w:ascii="宋体" w:hAnsi="宋体" w:eastAsia="宋体" w:cs="宋体"/>
          <w:color w:val="000000"/>
          <w:kern w:val="0"/>
          <w:sz w:val="24"/>
          <w:szCs w:val="24"/>
        </w:rPr>
        <w:t>。</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5、在电梯轿厢内或者出入口的明显位置张贴有效的《安全检验合格》标志及标明应急救援电话和维护保养单位名称及救援电话。</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6、甲</w:t>
      </w:r>
      <w:r>
        <w:rPr>
          <w:rFonts w:hint="eastAsia" w:ascii="宋体" w:hAnsi="宋体" w:eastAsia="宋体"/>
          <w:color w:val="000000"/>
          <w:sz w:val="24"/>
          <w:szCs w:val="24"/>
        </w:rPr>
        <w:t>方</w:t>
      </w:r>
      <w:r>
        <w:rPr>
          <w:rFonts w:hint="eastAsia" w:ascii="宋体" w:hAnsi="宋体" w:eastAsia="宋体" w:cs="宋体"/>
          <w:color w:val="000000"/>
          <w:kern w:val="0"/>
          <w:sz w:val="24"/>
          <w:szCs w:val="24"/>
        </w:rPr>
        <w:t>制定出现突发事件或者事故的应急措施与救援预案并定期演练；电梯发生困人时，及时采取措施，安抚乘客，组织乙方作业人员实施救援；在电梯出现故障或者发生异常情况时，组织对其进行全面检查，消除电梯事故隐患后再投入使用；电梯发生事故时，按照应急救援预案组织应急救援，排险和抢救，保护事故现场，并立即报告市质监局和其他有关部门。</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b/>
          <w:color w:val="000000"/>
          <w:sz w:val="24"/>
          <w:szCs w:val="24"/>
        </w:rPr>
        <w:t>甲方配备电梯安全管理人员</w:t>
      </w:r>
      <w:r>
        <w:rPr>
          <w:rFonts w:hint="eastAsia" w:ascii="宋体" w:hAnsi="宋体" w:eastAsia="宋体" w:cs="宋体-18030"/>
          <w:b/>
          <w:color w:val="000000"/>
          <w:kern w:val="0"/>
          <w:sz w:val="24"/>
          <w:szCs w:val="24"/>
        </w:rPr>
        <w:t>负责电梯的日常安全管理：</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（1）进行电梯运行的日常巡视，记录电梯日常使用状况；</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（2）妥善保管电梯钥匙及其安全提示牌；</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（3）制定和落实电梯的定期检验计划；</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（4）发现电梯运行事故隐患立即报告本单位负责人和乙方；</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（5）接到故障报警后，立即赶赴现场，组织</w:t>
      </w:r>
      <w:r>
        <w:rPr>
          <w:rFonts w:hint="eastAsia" w:ascii="宋体" w:hAnsi="宋体" w:eastAsia="宋体" w:cs="宋体"/>
          <w:color w:val="000000"/>
          <w:kern w:val="0"/>
          <w:sz w:val="24"/>
          <w:szCs w:val="24"/>
        </w:rPr>
        <w:t>乙</w:t>
      </w:r>
      <w:r>
        <w:rPr>
          <w:rFonts w:hint="eastAsia" w:ascii="宋体" w:hAnsi="宋体" w:eastAsia="宋体" w:cs="ËÎÌå"/>
          <w:color w:val="000000"/>
          <w:kern w:val="0"/>
          <w:sz w:val="24"/>
          <w:szCs w:val="24"/>
        </w:rPr>
        <w:t>方作业人员实施救援；</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（6）负责对</w:t>
      </w:r>
      <w:r>
        <w:rPr>
          <w:rFonts w:hint="eastAsia" w:ascii="宋体" w:hAnsi="宋体" w:eastAsia="宋体" w:cs="宋体"/>
          <w:color w:val="000000"/>
          <w:kern w:val="0"/>
          <w:sz w:val="24"/>
          <w:szCs w:val="24"/>
        </w:rPr>
        <w:t>乙</w:t>
      </w:r>
      <w:r>
        <w:rPr>
          <w:rFonts w:hint="eastAsia" w:ascii="宋体" w:hAnsi="宋体" w:eastAsia="宋体" w:cs="ËÎÌå"/>
          <w:color w:val="000000"/>
          <w:kern w:val="0"/>
          <w:sz w:val="24"/>
          <w:szCs w:val="24"/>
        </w:rPr>
        <w:t>方的维护保养记录签字确认；</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ËÎÌå"/>
          <w:color w:val="000000"/>
          <w:kern w:val="0"/>
          <w:sz w:val="24"/>
          <w:szCs w:val="24"/>
        </w:rPr>
        <w:t>（7）负责对</w:t>
      </w:r>
      <w:r>
        <w:rPr>
          <w:rFonts w:hint="eastAsia" w:ascii="宋体" w:hAnsi="宋体" w:eastAsia="宋体" w:cs="宋体"/>
          <w:color w:val="000000"/>
          <w:kern w:val="0"/>
          <w:sz w:val="24"/>
          <w:szCs w:val="24"/>
        </w:rPr>
        <w:t>乙</w:t>
      </w:r>
      <w:r>
        <w:rPr>
          <w:rFonts w:hint="eastAsia" w:ascii="宋体" w:hAnsi="宋体" w:eastAsia="宋体" w:cs="ËÎÌå"/>
          <w:color w:val="000000"/>
          <w:kern w:val="0"/>
          <w:sz w:val="24"/>
          <w:szCs w:val="24"/>
        </w:rPr>
        <w:t>方提交的电梯安全隐患提示单签字确认；</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olor w:val="000000"/>
          <w:sz w:val="24"/>
          <w:szCs w:val="24"/>
        </w:rPr>
        <w:t>8、如果更换电梯安全管理人员，应当及时通知</w:t>
      </w:r>
      <w:r>
        <w:rPr>
          <w:rFonts w:hint="eastAsia" w:ascii="宋体" w:hAnsi="宋体" w:eastAsia="宋体" w:cs="宋体"/>
          <w:color w:val="000000"/>
          <w:kern w:val="0"/>
          <w:sz w:val="24"/>
          <w:szCs w:val="24"/>
        </w:rPr>
        <w:t>乙</w:t>
      </w:r>
      <w:r>
        <w:rPr>
          <w:rFonts w:hint="eastAsia" w:ascii="宋体" w:hAnsi="宋体" w:eastAsia="宋体"/>
          <w:color w:val="000000"/>
          <w:sz w:val="24"/>
          <w:szCs w:val="24"/>
        </w:rPr>
        <w:t>方。</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olor w:val="000000"/>
          <w:sz w:val="24"/>
          <w:szCs w:val="24"/>
        </w:rPr>
        <w:t>9、除</w:t>
      </w:r>
      <w:r>
        <w:rPr>
          <w:rFonts w:hint="eastAsia" w:ascii="宋体" w:hAnsi="宋体" w:eastAsia="宋体" w:cs="宋体"/>
          <w:color w:val="000000"/>
          <w:kern w:val="0"/>
          <w:sz w:val="24"/>
          <w:szCs w:val="24"/>
        </w:rPr>
        <w:t>乙</w:t>
      </w:r>
      <w:r>
        <w:rPr>
          <w:rFonts w:hint="eastAsia" w:ascii="宋体" w:hAnsi="宋体" w:eastAsia="宋体"/>
          <w:color w:val="000000"/>
          <w:sz w:val="24"/>
          <w:szCs w:val="24"/>
        </w:rPr>
        <w:t>方无法解决的情况外，未经</w:t>
      </w:r>
      <w:r>
        <w:rPr>
          <w:rFonts w:hint="eastAsia" w:ascii="宋体" w:hAnsi="宋体" w:eastAsia="宋体" w:cs="宋体"/>
          <w:color w:val="000000"/>
          <w:kern w:val="0"/>
          <w:sz w:val="24"/>
          <w:szCs w:val="24"/>
        </w:rPr>
        <w:t>乙方书面许可不得允许非乙方人员从事与电梯维护保养有关的工作。</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olor w:val="000000"/>
          <w:sz w:val="24"/>
          <w:szCs w:val="24"/>
        </w:rPr>
        <w:t>10、甲方应当</w:t>
      </w:r>
      <w:r>
        <w:rPr>
          <w:rFonts w:hint="eastAsia" w:ascii="宋体" w:hAnsi="宋体" w:eastAsia="宋体" w:cs="宋体"/>
          <w:color w:val="000000"/>
          <w:kern w:val="0"/>
          <w:sz w:val="24"/>
          <w:szCs w:val="24"/>
        </w:rPr>
        <w:t>为乙方提供维护保养所需的工作环境及配合维护保养工作。</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olor w:val="000000"/>
          <w:sz w:val="24"/>
          <w:szCs w:val="24"/>
        </w:rPr>
        <w:t>11、甲方</w:t>
      </w:r>
      <w:r>
        <w:rPr>
          <w:rFonts w:hint="eastAsia" w:ascii="宋体" w:hAnsi="宋体" w:eastAsia="宋体" w:cs="宋体"/>
          <w:color w:val="000000"/>
          <w:kern w:val="0"/>
          <w:sz w:val="24"/>
          <w:szCs w:val="24"/>
        </w:rPr>
        <w:t>应当在电梯安全检验合格有效期届满前</w:t>
      </w:r>
      <w:r>
        <w:rPr>
          <w:rFonts w:hint="eastAsia" w:ascii="宋体" w:hAnsi="宋体" w:eastAsia="宋体" w:cs="ËÎÌå"/>
          <w:color w:val="000000"/>
          <w:kern w:val="0"/>
          <w:sz w:val="24"/>
          <w:szCs w:val="24"/>
        </w:rPr>
        <w:t xml:space="preserve">1 </w:t>
      </w:r>
      <w:r>
        <w:rPr>
          <w:rFonts w:hint="eastAsia" w:ascii="宋体" w:hAnsi="宋体" w:eastAsia="宋体" w:cs="宋体"/>
          <w:color w:val="000000"/>
          <w:kern w:val="0"/>
          <w:sz w:val="24"/>
          <w:szCs w:val="24"/>
        </w:rPr>
        <w:t>个月，向电梯检验检测机构提出定期检验申请。</w:t>
      </w:r>
    </w:p>
    <w:p>
      <w:pPr>
        <w:spacing w:line="360" w:lineRule="auto"/>
        <w:rPr>
          <w:rFonts w:ascii="宋体" w:hAnsi="宋体" w:eastAsia="宋体"/>
          <w:b/>
          <w:color w:val="000000"/>
          <w:sz w:val="24"/>
          <w:szCs w:val="24"/>
        </w:rPr>
      </w:pPr>
      <w:r>
        <w:rPr>
          <w:rFonts w:hint="eastAsia" w:ascii="宋体" w:hAnsi="宋体" w:eastAsia="宋体"/>
          <w:b/>
          <w:color w:val="000000"/>
          <w:sz w:val="24"/>
          <w:szCs w:val="24"/>
        </w:rPr>
        <w:t>第十一条  乙方权利、义务</w:t>
      </w:r>
    </w:p>
    <w:p>
      <w:pPr>
        <w:spacing w:line="360" w:lineRule="auto"/>
        <w:ind w:firstLine="482" w:firstLineChars="200"/>
        <w:rPr>
          <w:rFonts w:ascii="宋体" w:hAnsi="宋体" w:eastAsia="宋体"/>
          <w:b/>
          <w:color w:val="000000"/>
          <w:sz w:val="24"/>
          <w:szCs w:val="24"/>
        </w:rPr>
      </w:pPr>
      <w:r>
        <w:rPr>
          <w:rFonts w:hint="eastAsia" w:ascii="宋体" w:hAnsi="宋体" w:eastAsia="宋体" w:cs="黑体"/>
          <w:b/>
          <w:color w:val="000000"/>
          <w:kern w:val="0"/>
          <w:sz w:val="24"/>
          <w:szCs w:val="24"/>
        </w:rPr>
        <w:t>（一）</w:t>
      </w:r>
      <w:r>
        <w:rPr>
          <w:rFonts w:hint="eastAsia" w:ascii="宋体" w:hAnsi="宋体" w:eastAsia="宋体"/>
          <w:b/>
          <w:color w:val="000000"/>
          <w:sz w:val="24"/>
          <w:szCs w:val="24"/>
        </w:rPr>
        <w:t>权利</w:t>
      </w:r>
    </w:p>
    <w:p>
      <w:pPr>
        <w:spacing w:line="360" w:lineRule="auto"/>
        <w:rPr>
          <w:rFonts w:ascii="宋体" w:hAnsi="宋体" w:eastAsia="宋体"/>
          <w:color w:val="000000"/>
          <w:sz w:val="24"/>
          <w:szCs w:val="24"/>
        </w:rPr>
      </w:pPr>
      <w:r>
        <w:rPr>
          <w:rFonts w:hint="eastAsia" w:ascii="宋体" w:hAnsi="宋体" w:eastAsia="宋体"/>
          <w:color w:val="000000"/>
          <w:sz w:val="24"/>
          <w:szCs w:val="24"/>
        </w:rPr>
        <w:t xml:space="preserve">     1、有权要求甲方提供维护保养所需的工作环境及相关资料。</w:t>
      </w:r>
    </w:p>
    <w:p>
      <w:pPr>
        <w:spacing w:line="360" w:lineRule="auto"/>
        <w:ind w:left="840" w:hanging="840" w:hangingChars="350"/>
        <w:rPr>
          <w:rFonts w:ascii="宋体" w:hAnsi="宋体" w:eastAsia="宋体"/>
          <w:color w:val="000000"/>
          <w:sz w:val="24"/>
          <w:szCs w:val="24"/>
        </w:rPr>
      </w:pPr>
      <w:r>
        <w:rPr>
          <w:rFonts w:hint="eastAsia" w:ascii="宋体" w:hAnsi="宋体" w:eastAsia="宋体"/>
          <w:color w:val="000000"/>
          <w:sz w:val="24"/>
          <w:szCs w:val="24"/>
        </w:rPr>
        <w:t xml:space="preserve">     2、有权拒绝甲方提出的影响电梯安全运行的要求。</w:t>
      </w:r>
    </w:p>
    <w:p>
      <w:pPr>
        <w:spacing w:line="360" w:lineRule="auto"/>
        <w:ind w:left="954" w:leftChars="228" w:hanging="361" w:hangingChars="150"/>
        <w:rPr>
          <w:rFonts w:ascii="宋体" w:hAnsi="宋体" w:eastAsia="宋体"/>
          <w:color w:val="000000"/>
          <w:sz w:val="24"/>
          <w:szCs w:val="24"/>
        </w:rPr>
      </w:pPr>
      <w:r>
        <w:rPr>
          <w:rFonts w:hint="eastAsia" w:ascii="宋体" w:hAnsi="宋体" w:eastAsia="宋体"/>
          <w:b/>
          <w:color w:val="000000"/>
          <w:sz w:val="24"/>
          <w:szCs w:val="24"/>
        </w:rPr>
        <w:t>（二）义务</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1、应当具备特种设备安全监督管理部门核发的相应许可，并向甲方提交加盖公章的营业执照和《特种设备安装改造维修许可证》复印件作为本合同的附件。</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2、按照《电梯使用管理与维护保养规则》（</w:t>
      </w:r>
      <w:r>
        <w:rPr>
          <w:rFonts w:hint="eastAsia" w:ascii="宋体" w:hAnsi="宋体" w:eastAsia="宋体"/>
          <w:color w:val="000000"/>
          <w:kern w:val="0"/>
          <w:sz w:val="24"/>
          <w:szCs w:val="24"/>
        </w:rPr>
        <w:t>TSGT5002-2017</w:t>
      </w:r>
      <w:r>
        <w:rPr>
          <w:rFonts w:hint="eastAsia" w:ascii="宋体" w:hAnsi="宋体" w:eastAsia="宋体"/>
          <w:color w:val="000000"/>
          <w:sz w:val="24"/>
          <w:szCs w:val="24"/>
        </w:rPr>
        <w:t>）及其有关安全技术规范以及电梯产品安装使用维护说明书的要求，制定维保方案，确保维保电梯的安全性能；</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3、设立24小时维保值班电话，保证接到故障通知后及时予以排除，接到电梯困人故障报告后，维修人员及时抵达所维保电梯所在地实施现场救援，抵达时间不超过20分钟。</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4、建立每部电梯的维护记录和故障记录，并归入甲方电梯技术档案；</w:t>
      </w:r>
    </w:p>
    <w:p>
      <w:pPr>
        <w:spacing w:line="360" w:lineRule="auto"/>
        <w:ind w:firstLine="480" w:firstLineChars="200"/>
        <w:rPr>
          <w:rFonts w:ascii="宋体" w:hAnsi="宋体" w:eastAsia="宋体"/>
          <w:color w:val="000000"/>
          <w:kern w:val="0"/>
          <w:sz w:val="24"/>
          <w:szCs w:val="24"/>
        </w:rPr>
      </w:pPr>
      <w:r>
        <w:rPr>
          <w:rFonts w:hint="eastAsia" w:ascii="宋体" w:hAnsi="宋体" w:eastAsia="宋体"/>
          <w:color w:val="000000"/>
          <w:kern w:val="0"/>
          <w:sz w:val="24"/>
          <w:szCs w:val="24"/>
        </w:rPr>
        <w:t>5、协助甲方制定电梯的安全管理制度和应急救援预案，安排维保人员配合甲方和检验机构进行电梯的定期检验；</w:t>
      </w:r>
    </w:p>
    <w:p>
      <w:pPr>
        <w:spacing w:line="360" w:lineRule="auto"/>
        <w:ind w:firstLine="480" w:firstLineChars="200"/>
        <w:rPr>
          <w:rFonts w:ascii="宋体" w:hAnsi="宋体" w:eastAsia="宋体"/>
          <w:color w:val="000000"/>
          <w:kern w:val="0"/>
          <w:sz w:val="24"/>
          <w:szCs w:val="24"/>
        </w:rPr>
      </w:pPr>
      <w:r>
        <w:rPr>
          <w:rFonts w:hint="eastAsia" w:ascii="宋体" w:hAnsi="宋体" w:eastAsia="宋体"/>
          <w:color w:val="000000"/>
          <w:kern w:val="0"/>
          <w:sz w:val="24"/>
          <w:szCs w:val="24"/>
        </w:rPr>
        <w:t>6、在维保过程中，发现事故隐患及时告知甲方；发现严重事故隐患及时向当地质量技术监督部门报告，并通知甲方停止使用电梯。</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7、现场作业人员不得少于两人，且应当取得相应的《特种设备作业人员证》。作业中应当负责落实现场安全防护措施，保证作业安全。</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8、向甲方提出合理化建议并</w:t>
      </w:r>
      <w:r>
        <w:rPr>
          <w:rFonts w:hint="eastAsia" w:ascii="宋体" w:hAnsi="宋体" w:eastAsia="宋体" w:cs="宋体"/>
          <w:color w:val="000000"/>
          <w:kern w:val="0"/>
          <w:sz w:val="24"/>
          <w:szCs w:val="24"/>
        </w:rPr>
        <w:t>每月向</w:t>
      </w:r>
      <w:r>
        <w:rPr>
          <w:rFonts w:hint="eastAsia" w:ascii="宋体" w:hAnsi="宋体" w:eastAsia="宋体"/>
          <w:color w:val="000000"/>
          <w:kern w:val="0"/>
          <w:sz w:val="24"/>
          <w:szCs w:val="24"/>
        </w:rPr>
        <w:t>甲</w:t>
      </w:r>
      <w:r>
        <w:rPr>
          <w:rFonts w:hint="eastAsia" w:ascii="宋体" w:hAnsi="宋体" w:eastAsia="宋体" w:cs="宋体"/>
          <w:color w:val="000000"/>
          <w:kern w:val="0"/>
          <w:sz w:val="24"/>
          <w:szCs w:val="24"/>
        </w:rPr>
        <w:t>方书面报告所维护保养电梯的运行情况、零部件使用情况、易损件的更换情况及</w:t>
      </w:r>
      <w:r>
        <w:rPr>
          <w:rFonts w:hint="eastAsia" w:ascii="宋体" w:hAnsi="宋体" w:eastAsia="宋体"/>
          <w:color w:val="000000"/>
          <w:sz w:val="24"/>
          <w:szCs w:val="24"/>
        </w:rPr>
        <w:t>电梯更换修理需求</w:t>
      </w:r>
      <w:r>
        <w:rPr>
          <w:rFonts w:hint="eastAsia" w:ascii="宋体" w:hAnsi="宋体" w:eastAsia="宋体" w:cs="宋体"/>
          <w:color w:val="000000"/>
          <w:kern w:val="0"/>
          <w:sz w:val="24"/>
          <w:szCs w:val="24"/>
        </w:rPr>
        <w:t>。对所维护保养电梯的安全运行负责，保障设备整机及零部件完整无损。</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9、不得以任何形式分包、转包。</w:t>
      </w:r>
    </w:p>
    <w:p>
      <w:pPr>
        <w:spacing w:line="360" w:lineRule="auto"/>
        <w:rPr>
          <w:rFonts w:ascii="宋体" w:hAnsi="宋体" w:eastAsia="宋体"/>
          <w:b/>
          <w:color w:val="000000"/>
          <w:sz w:val="24"/>
          <w:szCs w:val="24"/>
        </w:rPr>
      </w:pPr>
      <w:r>
        <w:rPr>
          <w:rFonts w:hint="eastAsia" w:ascii="宋体" w:hAnsi="宋体" w:eastAsia="宋体"/>
          <w:b/>
          <w:color w:val="000000"/>
          <w:sz w:val="24"/>
          <w:szCs w:val="24"/>
        </w:rPr>
        <w:t>第十二条  违约责任</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（一）一方当事人未按约定履行义务给对方造成直接损失的，应当承担赔偿责任。</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（二）一方当事人无法继续履行合同的，应当提前三十天通知另一方，并由责任方承担因合同解除而造成的损失。</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（三） 甲方无正当理由未按照约定期限支付费用的，每延误一日应当向乙方支付延误部分费用万分之五的违约金。</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（四）乙方违反约定允许</w:t>
      </w:r>
      <w:r>
        <w:rPr>
          <w:rFonts w:hint="eastAsia" w:ascii="宋体" w:hAnsi="宋体" w:eastAsia="宋体" w:cs="宋体"/>
          <w:color w:val="000000"/>
          <w:kern w:val="0"/>
          <w:sz w:val="24"/>
          <w:szCs w:val="24"/>
        </w:rPr>
        <w:t>非乙方</w:t>
      </w:r>
      <w:r>
        <w:rPr>
          <w:rFonts w:hint="eastAsia" w:ascii="宋体" w:hAnsi="宋体" w:eastAsia="宋体"/>
          <w:color w:val="000000"/>
          <w:sz w:val="24"/>
          <w:szCs w:val="24"/>
        </w:rPr>
        <w:t>人员从事电梯维护保养工作的，应当按照违约责任中的第3条标准支付违约金。</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（五）因电梯使用等原因导致人身伤亡或设备损坏、丢失的，由责任方自行承担全部责任。</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（六）乙方的维护保养工作不符合合同约定的维护保养标准或要求的，乙方应当返工，如造成损失，应予以全额赔偿。</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（七）因维护保养原因导致人身伤亡或设备损坏、丢失的，由乙方承担全部责任。</w:t>
      </w:r>
    </w:p>
    <w:p>
      <w:pPr>
        <w:spacing w:line="360" w:lineRule="auto"/>
        <w:ind w:firstLine="480" w:firstLineChars="200"/>
        <w:rPr>
          <w:rFonts w:ascii="宋体" w:hAnsi="宋体" w:eastAsia="宋体"/>
          <w:color w:val="FF0000"/>
          <w:sz w:val="24"/>
          <w:szCs w:val="24"/>
        </w:rPr>
      </w:pPr>
      <w:r>
        <w:rPr>
          <w:rFonts w:hint="eastAsia" w:ascii="宋体" w:hAnsi="宋体" w:eastAsia="宋体"/>
          <w:color w:val="000000"/>
          <w:sz w:val="24"/>
          <w:szCs w:val="24"/>
        </w:rPr>
        <w:t>（八）因维护保养原因导致电梯检验检测不合格的，乙方还应当承担电梯复验费用。</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（九）合同终止或解除时，乙方不得进行影响电梯正常使用的技术加密。</w:t>
      </w:r>
    </w:p>
    <w:p>
      <w:pPr>
        <w:spacing w:line="360" w:lineRule="auto"/>
        <w:rPr>
          <w:rFonts w:ascii="宋体" w:hAnsi="宋体" w:eastAsia="宋体"/>
          <w:b/>
          <w:color w:val="000000"/>
          <w:sz w:val="24"/>
          <w:szCs w:val="24"/>
        </w:rPr>
      </w:pPr>
      <w:r>
        <w:rPr>
          <w:rFonts w:hint="eastAsia" w:ascii="宋体" w:hAnsi="宋体" w:eastAsia="宋体"/>
          <w:b/>
          <w:color w:val="000000"/>
          <w:sz w:val="24"/>
          <w:szCs w:val="24"/>
        </w:rPr>
        <w:t>第十三条  合同的解除</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（一）甲乙双方协商一致，可以解除合同。</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（二）任何一方严重违约导致合同无法继续履行的，另一方可以解除合同。此外任何一方不得单方解除合同。</w:t>
      </w:r>
    </w:p>
    <w:p>
      <w:pPr>
        <w:spacing w:line="360" w:lineRule="auto"/>
        <w:rPr>
          <w:rFonts w:ascii="宋体" w:hAnsi="宋体" w:eastAsia="宋体"/>
          <w:b/>
          <w:color w:val="000000"/>
          <w:sz w:val="24"/>
          <w:szCs w:val="24"/>
        </w:rPr>
      </w:pPr>
      <w:r>
        <w:rPr>
          <w:rFonts w:hint="eastAsia" w:ascii="宋体" w:hAnsi="宋体" w:eastAsia="宋体"/>
          <w:b/>
          <w:color w:val="000000"/>
          <w:sz w:val="24"/>
          <w:szCs w:val="24"/>
        </w:rPr>
        <w:t>第十四条  争议解决方式</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本合同在履行过程中发生的争议，由双方当事人协商解决或向有关部门申请调解，协商、调解不成的，按照下列第（一）种方式解决（任选一种）：</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（一）依法向</w:t>
      </w:r>
      <w:r>
        <w:rPr>
          <w:rFonts w:hint="eastAsia" w:ascii="宋体" w:hAnsi="宋体" w:eastAsia="宋体"/>
          <w:color w:val="000000"/>
          <w:sz w:val="24"/>
          <w:szCs w:val="24"/>
          <w:u w:val="single"/>
        </w:rPr>
        <w:t xml:space="preserve"> 南通市 </w:t>
      </w:r>
      <w:r>
        <w:rPr>
          <w:rFonts w:hint="eastAsia" w:ascii="宋体" w:hAnsi="宋体" w:eastAsia="宋体"/>
          <w:color w:val="000000"/>
          <w:sz w:val="24"/>
          <w:szCs w:val="24"/>
        </w:rPr>
        <w:t>人民法院提起诉讼；</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（二）提交 </w:t>
      </w:r>
      <w:r>
        <w:rPr>
          <w:rFonts w:hint="eastAsia" w:ascii="宋体" w:hAnsi="宋体" w:eastAsia="宋体"/>
          <w:color w:val="000000"/>
          <w:sz w:val="24"/>
          <w:szCs w:val="24"/>
          <w:u w:val="single"/>
        </w:rPr>
        <w:t xml:space="preserve">  南通 （所在地）</w:t>
      </w:r>
      <w:r>
        <w:rPr>
          <w:rFonts w:hint="eastAsia" w:ascii="宋体" w:hAnsi="宋体" w:eastAsia="宋体"/>
          <w:color w:val="000000"/>
          <w:sz w:val="24"/>
          <w:szCs w:val="24"/>
        </w:rPr>
        <w:t>仲裁委员会仲裁。</w:t>
      </w:r>
    </w:p>
    <w:p>
      <w:pPr>
        <w:spacing w:line="360" w:lineRule="auto"/>
        <w:rPr>
          <w:rFonts w:ascii="宋体" w:hAnsi="宋体" w:eastAsia="宋体"/>
          <w:b/>
          <w:color w:val="000000"/>
          <w:sz w:val="24"/>
          <w:szCs w:val="24"/>
        </w:rPr>
      </w:pPr>
      <w:r>
        <w:rPr>
          <w:rFonts w:hint="eastAsia" w:ascii="宋体" w:hAnsi="宋体" w:eastAsia="宋体"/>
          <w:b/>
          <w:color w:val="000000"/>
          <w:sz w:val="24"/>
          <w:szCs w:val="24"/>
        </w:rPr>
        <w:t>第十五条  其他约定</w:t>
      </w:r>
    </w:p>
    <w:p>
      <w:pPr>
        <w:spacing w:line="360" w:lineRule="auto"/>
        <w:ind w:firstLine="480" w:firstLineChars="200"/>
        <w:rPr>
          <w:rFonts w:ascii="宋体" w:hAnsi="宋体" w:eastAsia="宋体" w:cs="宋体"/>
          <w:bCs/>
          <w:sz w:val="24"/>
          <w:szCs w:val="24"/>
        </w:rPr>
      </w:pPr>
      <w:r>
        <w:rPr>
          <w:rFonts w:hint="eastAsia" w:ascii="宋体" w:hAnsi="宋体" w:eastAsia="宋体"/>
          <w:bCs/>
          <w:color w:val="000000"/>
          <w:sz w:val="24"/>
          <w:szCs w:val="24"/>
        </w:rPr>
        <w:t>（一）</w:t>
      </w:r>
      <w:r>
        <w:rPr>
          <w:rFonts w:hint="eastAsia" w:ascii="宋体" w:hAnsi="宋体" w:eastAsia="宋体" w:cs="宋体"/>
          <w:bCs/>
          <w:sz w:val="24"/>
          <w:szCs w:val="24"/>
        </w:rPr>
        <w:t>招标文件、乙方投标文件及其他附件皆为本合同重要组成部分与本合同具有同等法律效力。</w:t>
      </w:r>
    </w:p>
    <w:p>
      <w:pPr>
        <w:spacing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（二）乙方</w:t>
      </w:r>
      <w:r>
        <w:rPr>
          <w:rFonts w:hint="eastAsia" w:asciiTheme="majorEastAsia" w:hAnsiTheme="majorEastAsia" w:eastAsiaTheme="majorEastAsia"/>
          <w:b/>
          <w:sz w:val="24"/>
          <w:szCs w:val="24"/>
        </w:rPr>
        <w:t>承担200元以下的电梯配件的更换、维修。</w:t>
      </w:r>
    </w:p>
    <w:p>
      <w:pPr>
        <w:spacing w:line="360" w:lineRule="auto"/>
        <w:ind w:firstLine="480" w:firstLineChars="200"/>
        <w:rPr>
          <w:rFonts w:ascii="宋体" w:hAnsi="宋体" w:eastAsia="宋体"/>
          <w:sz w:val="21"/>
          <w:szCs w:val="24"/>
        </w:rPr>
      </w:pPr>
      <w:r>
        <w:rPr>
          <w:rFonts w:hint="eastAsia" w:ascii="宋体" w:hAnsi="宋体" w:eastAsia="宋体"/>
          <w:color w:val="000000"/>
          <w:sz w:val="24"/>
          <w:szCs w:val="24"/>
        </w:rPr>
        <w:t>（三）200元以上普通维修、重大维修、改造或甲方要求甲方提供本合同约定以外的增值服务的，双方均应当以书面形式另行约定。</w:t>
      </w:r>
    </w:p>
    <w:p>
      <w:pPr>
        <w:spacing w:line="360" w:lineRule="auto"/>
        <w:ind w:firstLine="480" w:firstLineChars="200"/>
        <w:rPr>
          <w:rFonts w:ascii="宋体" w:hAnsi="宋体" w:eastAsia="宋体"/>
          <w:b/>
          <w:color w:val="000000"/>
          <w:sz w:val="24"/>
          <w:szCs w:val="24"/>
        </w:rPr>
      </w:pPr>
      <w:r>
        <w:rPr>
          <w:rFonts w:hint="eastAsia" w:ascii="宋体" w:hAnsi="宋体" w:eastAsia="宋体"/>
          <w:color w:val="000000"/>
          <w:sz w:val="24"/>
          <w:szCs w:val="24"/>
        </w:rPr>
        <w:t>（三）</w:t>
      </w:r>
      <w:r>
        <w:rPr>
          <w:rFonts w:hint="eastAsia" w:ascii="宋体" w:hAnsi="宋体" w:eastAsia="宋体"/>
          <w:b/>
          <w:color w:val="000000"/>
          <w:sz w:val="24"/>
          <w:szCs w:val="24"/>
        </w:rPr>
        <w:t>维护保养记录是记载电梯运行、维护、保养的依据。</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olor w:val="000000"/>
          <w:sz w:val="24"/>
          <w:szCs w:val="24"/>
        </w:rPr>
        <w:t>每台电梯均应当建立独立的</w:t>
      </w:r>
      <w:r>
        <w:rPr>
          <w:rFonts w:hint="eastAsia" w:ascii="宋体" w:hAnsi="宋体" w:eastAsia="宋体" w:cs="宋体"/>
          <w:color w:val="000000"/>
          <w:kern w:val="0"/>
          <w:sz w:val="24"/>
          <w:szCs w:val="24"/>
        </w:rPr>
        <w:t>维护保养记录。维护保养记录应当一式两份，甲乙双方各保存一份，保存时间为4 年。普通维修、重大维修、改造协议与抢修记录均应当与维护保养记录一并保存。</w:t>
      </w:r>
    </w:p>
    <w:p>
      <w:pPr>
        <w:spacing w:line="360" w:lineRule="auto"/>
        <w:rPr>
          <w:rFonts w:ascii="宋体" w:hAnsi="宋体" w:eastAsia="宋体" w:cs="ËÎÌå"/>
          <w:b/>
          <w:bCs/>
          <w:color w:val="000000"/>
          <w:kern w:val="0"/>
          <w:sz w:val="24"/>
          <w:szCs w:val="24"/>
        </w:rPr>
      </w:pPr>
      <w:r>
        <w:rPr>
          <w:rFonts w:hint="eastAsia" w:ascii="宋体" w:hAnsi="宋体" w:eastAsia="宋体" w:cs="ËÎÌå"/>
          <w:b/>
          <w:bCs/>
          <w:color w:val="000000"/>
          <w:kern w:val="0"/>
          <w:sz w:val="24"/>
          <w:szCs w:val="24"/>
        </w:rPr>
        <w:t>第十六条  附则</w:t>
      </w:r>
    </w:p>
    <w:p>
      <w:pPr>
        <w:spacing w:line="360" w:lineRule="auto"/>
        <w:rPr>
          <w:rFonts w:ascii="宋体" w:hAnsi="宋体" w:eastAsia="宋体" w:cs="宋体"/>
          <w:b/>
          <w:color w:val="000000"/>
          <w:kern w:val="0"/>
          <w:sz w:val="24"/>
          <w:szCs w:val="24"/>
        </w:rPr>
      </w:pPr>
      <w:r>
        <w:rPr>
          <w:rFonts w:hint="eastAsia" w:ascii="宋体" w:hAnsi="宋体" w:eastAsia="宋体"/>
          <w:b/>
          <w:color w:val="000000"/>
          <w:sz w:val="24"/>
          <w:szCs w:val="24"/>
        </w:rPr>
        <w:t xml:space="preserve"> 1、</w:t>
      </w:r>
      <w:r>
        <w:rPr>
          <w:rFonts w:hint="eastAsia" w:ascii="宋体" w:hAnsi="宋体" w:eastAsia="宋体"/>
          <w:color w:val="000000"/>
          <w:sz w:val="24"/>
          <w:szCs w:val="24"/>
        </w:rPr>
        <w:t>本合同中对电梯的日常管理工作由</w:t>
      </w:r>
      <w:r>
        <w:rPr>
          <w:rFonts w:hint="eastAsia" w:ascii="宋体" w:hAnsi="宋体" w:eastAsia="宋体" w:cs="宋体"/>
          <w:b/>
          <w:color w:val="000000"/>
          <w:kern w:val="0"/>
          <w:sz w:val="24"/>
          <w:szCs w:val="24"/>
        </w:rPr>
        <w:t>南通农副产品物流有限公司</w:t>
      </w:r>
      <w:r>
        <w:rPr>
          <w:rFonts w:hint="eastAsia" w:ascii="宋体" w:hAnsi="宋体" w:eastAsia="宋体" w:cs="宋体"/>
          <w:color w:val="000000"/>
          <w:kern w:val="0"/>
          <w:sz w:val="24"/>
          <w:szCs w:val="24"/>
        </w:rPr>
        <w:t>负责。</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2、如果管理单位发生变更后，需要重新签订补充协议。</w:t>
      </w:r>
    </w:p>
    <w:p>
      <w:pPr>
        <w:spacing w:line="360" w:lineRule="auto"/>
        <w:ind w:firstLine="600" w:firstLineChars="250"/>
        <w:rPr>
          <w:rFonts w:ascii="宋体" w:hAnsi="宋体" w:eastAsia="宋体"/>
          <w:color w:val="000000"/>
          <w:sz w:val="24"/>
          <w:szCs w:val="24"/>
          <w:u w:val="single"/>
        </w:rPr>
      </w:pPr>
      <w:r>
        <w:rPr>
          <w:rFonts w:hint="eastAsia" w:ascii="宋体" w:hAnsi="宋体" w:eastAsia="宋体"/>
          <w:color w:val="000000"/>
          <w:sz w:val="24"/>
          <w:szCs w:val="24"/>
        </w:rPr>
        <w:t>本合同自</w:t>
      </w:r>
      <w:r>
        <w:rPr>
          <w:rFonts w:hint="eastAsia" w:ascii="宋体" w:hAnsi="宋体" w:eastAsia="宋体"/>
          <w:color w:val="000000"/>
          <w:sz w:val="24"/>
          <w:szCs w:val="24"/>
          <w:u w:val="single"/>
        </w:rPr>
        <w:t xml:space="preserve">  双方签字盖章后  </w:t>
      </w:r>
      <w:r>
        <w:rPr>
          <w:rFonts w:hint="eastAsia" w:ascii="宋体" w:hAnsi="宋体" w:eastAsia="宋体"/>
          <w:color w:val="000000"/>
          <w:sz w:val="24"/>
          <w:szCs w:val="24"/>
        </w:rPr>
        <w:t>生效。本合同生效后，双方对合同内容的变更或补充应当采取书面形式，并经双方签字确认，作为本合同的附件。附件与本合同具有同等的法律效力。</w:t>
      </w:r>
    </w:p>
    <w:p>
      <w:pPr>
        <w:spacing w:line="360" w:lineRule="auto"/>
        <w:ind w:firstLine="465"/>
        <w:rPr>
          <w:rFonts w:ascii="宋体" w:hAnsi="宋体" w:eastAsia="宋体"/>
          <w:color w:val="000000"/>
          <w:sz w:val="24"/>
          <w:szCs w:val="24"/>
        </w:rPr>
      </w:pPr>
      <w:r>
        <w:rPr>
          <w:rFonts w:hint="eastAsia" w:ascii="宋体" w:hAnsi="宋体" w:eastAsia="宋体"/>
          <w:color w:val="000000"/>
          <w:sz w:val="24"/>
          <w:szCs w:val="24"/>
        </w:rPr>
        <w:t>本合同一式</w:t>
      </w:r>
      <w:r>
        <w:rPr>
          <w:rFonts w:hint="eastAsia" w:ascii="宋体" w:hAnsi="宋体" w:eastAsia="宋体"/>
          <w:color w:val="000000"/>
          <w:sz w:val="24"/>
          <w:szCs w:val="24"/>
          <w:u w:val="single"/>
        </w:rPr>
        <w:t xml:space="preserve"> 陆 </w:t>
      </w:r>
      <w:r>
        <w:rPr>
          <w:rFonts w:hint="eastAsia" w:ascii="宋体" w:hAnsi="宋体" w:eastAsia="宋体"/>
          <w:color w:val="000000"/>
          <w:sz w:val="24"/>
          <w:szCs w:val="24"/>
        </w:rPr>
        <w:t>份，甲方执</w:t>
      </w:r>
      <w:r>
        <w:rPr>
          <w:rFonts w:hint="eastAsia" w:ascii="宋体" w:hAnsi="宋体" w:eastAsia="宋体"/>
          <w:color w:val="000000"/>
          <w:sz w:val="24"/>
          <w:szCs w:val="24"/>
          <w:u w:val="single"/>
        </w:rPr>
        <w:t xml:space="preserve">  肆  </w:t>
      </w:r>
      <w:r>
        <w:rPr>
          <w:rFonts w:hint="eastAsia" w:ascii="宋体" w:hAnsi="宋体" w:eastAsia="宋体"/>
          <w:color w:val="000000"/>
          <w:sz w:val="24"/>
          <w:szCs w:val="24"/>
        </w:rPr>
        <w:t>份，乙方执</w:t>
      </w:r>
      <w:r>
        <w:rPr>
          <w:rFonts w:hint="eastAsia" w:ascii="宋体" w:hAnsi="宋体" w:eastAsia="宋体"/>
          <w:color w:val="000000"/>
          <w:sz w:val="24"/>
          <w:szCs w:val="24"/>
          <w:u w:val="single"/>
        </w:rPr>
        <w:t xml:space="preserve">  贰  </w:t>
      </w:r>
      <w:r>
        <w:rPr>
          <w:rFonts w:hint="eastAsia" w:ascii="宋体" w:hAnsi="宋体" w:eastAsia="宋体"/>
          <w:color w:val="000000"/>
          <w:sz w:val="24"/>
          <w:szCs w:val="24"/>
        </w:rPr>
        <w:t>份。</w:t>
      </w:r>
    </w:p>
    <w:p>
      <w:pPr>
        <w:spacing w:line="360" w:lineRule="auto"/>
        <w:ind w:firstLine="465"/>
        <w:rPr>
          <w:rFonts w:ascii="宋体" w:hAnsi="宋体" w:eastAsia="宋体"/>
          <w:b/>
          <w:color w:val="000000"/>
          <w:sz w:val="24"/>
          <w:szCs w:val="24"/>
        </w:rPr>
      </w:pPr>
    </w:p>
    <w:p>
      <w:pPr>
        <w:spacing w:line="360" w:lineRule="auto"/>
        <w:rPr>
          <w:rFonts w:ascii="宋体" w:hAnsi="宋体" w:eastAsia="宋体"/>
          <w:b/>
          <w:color w:val="000000"/>
          <w:sz w:val="24"/>
          <w:szCs w:val="24"/>
        </w:rPr>
      </w:pPr>
      <w:r>
        <w:rPr>
          <w:rFonts w:hint="eastAsia" w:ascii="宋体" w:hAnsi="宋体" w:eastAsia="宋体"/>
          <w:b/>
          <w:color w:val="000000"/>
          <w:sz w:val="24"/>
          <w:szCs w:val="24"/>
        </w:rPr>
        <w:t xml:space="preserve">甲方：（签章）                            </w:t>
      </w:r>
      <w:r>
        <w:rPr>
          <w:rFonts w:hint="eastAsia" w:ascii="宋体" w:hAnsi="宋体" w:eastAsia="宋体" w:cs="宋体"/>
          <w:b/>
          <w:bCs/>
          <w:color w:val="000000"/>
          <w:kern w:val="0"/>
          <w:sz w:val="24"/>
          <w:szCs w:val="24"/>
        </w:rPr>
        <w:t>乙方：</w:t>
      </w:r>
    </w:p>
    <w:p>
      <w:pPr>
        <w:spacing w:line="360" w:lineRule="auto"/>
        <w:rPr>
          <w:rFonts w:ascii="宋体" w:hAnsi="宋体" w:eastAsia="宋体" w:cs="宋体"/>
          <w:b/>
          <w:bCs/>
          <w:color w:val="000000"/>
          <w:kern w:val="0"/>
          <w:sz w:val="24"/>
          <w:szCs w:val="24"/>
        </w:rPr>
      </w:pPr>
      <w:r>
        <w:rPr>
          <w:rFonts w:hint="eastAsia" w:ascii="宋体" w:hAnsi="宋体" w:eastAsia="宋体"/>
          <w:b/>
          <w:sz w:val="24"/>
          <w:szCs w:val="24"/>
        </w:rPr>
        <w:t xml:space="preserve">南通农副产品物流有限公司 </w:t>
      </w:r>
    </w:p>
    <w:p>
      <w:pPr>
        <w:spacing w:line="360" w:lineRule="auto"/>
        <w:rPr>
          <w:rFonts w:ascii="宋体" w:hAnsi="宋体" w:eastAsia="宋体"/>
          <w:color w:val="000000"/>
          <w:sz w:val="24"/>
          <w:szCs w:val="24"/>
        </w:rPr>
      </w:pPr>
      <w:r>
        <w:rPr>
          <w:rFonts w:hint="eastAsia" w:ascii="宋体" w:hAnsi="宋体" w:eastAsia="宋体" w:cs="宋体"/>
          <w:color w:val="000000"/>
          <w:kern w:val="0"/>
          <w:sz w:val="24"/>
          <w:szCs w:val="24"/>
        </w:rPr>
        <w:t>单位负责人：                              营业执照号码：</w:t>
      </w:r>
    </w:p>
    <w:p>
      <w:pPr>
        <w:spacing w:line="360" w:lineRule="auto"/>
        <w:rPr>
          <w:rFonts w:ascii="宋体" w:hAnsi="宋体" w:eastAsia="宋体"/>
          <w:color w:val="000000"/>
          <w:sz w:val="24"/>
          <w:szCs w:val="24"/>
        </w:rPr>
      </w:pPr>
      <w:r>
        <w:rPr>
          <w:rFonts w:hint="eastAsia" w:ascii="宋体" w:hAnsi="宋体" w:eastAsia="宋体" w:cs="宋体"/>
          <w:color w:val="000000"/>
          <w:kern w:val="0"/>
          <w:sz w:val="24"/>
          <w:szCs w:val="24"/>
        </w:rPr>
        <w:t xml:space="preserve">联系电话：许可证号码：                                         </w:t>
      </w:r>
    </w:p>
    <w:p>
      <w:pPr>
        <w:spacing w:line="360" w:lineRule="auto"/>
        <w:rPr>
          <w:rFonts w:ascii="宋体" w:hAnsi="宋体" w:eastAsia="宋体"/>
          <w:color w:val="000000"/>
          <w:sz w:val="24"/>
          <w:szCs w:val="24"/>
        </w:rPr>
      </w:pPr>
      <w:r>
        <w:rPr>
          <w:rFonts w:hint="eastAsia" w:ascii="宋体" w:hAnsi="宋体" w:eastAsia="宋体" w:cs="宋体"/>
          <w:color w:val="000000"/>
          <w:kern w:val="0"/>
          <w:sz w:val="24"/>
          <w:szCs w:val="24"/>
        </w:rPr>
        <w:t>法定代表人：</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联系电话：</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传真电话：</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开户银行：</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帐号：</w:t>
      </w:r>
    </w:p>
    <w:p>
      <w:pPr>
        <w:spacing w:line="360" w:lineRule="auto"/>
        <w:rPr>
          <w:rFonts w:ascii="宋体" w:hAnsi="宋体" w:eastAsia="宋体"/>
          <w:color w:val="000000"/>
          <w:sz w:val="24"/>
          <w:szCs w:val="24"/>
        </w:rPr>
      </w:pPr>
      <w:r>
        <w:rPr>
          <w:rFonts w:hint="eastAsia" w:ascii="宋体" w:hAnsi="宋体" w:eastAsia="宋体" w:cs="宋体"/>
          <w:color w:val="000000"/>
          <w:kern w:val="0"/>
          <w:sz w:val="24"/>
          <w:szCs w:val="24"/>
        </w:rPr>
        <w:t xml:space="preserve">     签约时间：      年     月    日</w:t>
      </w:r>
    </w:p>
    <w:p>
      <w:pPr>
        <w:snapToGrid w:val="0"/>
        <w:spacing w:line="360" w:lineRule="auto"/>
        <w:rPr>
          <w:rFonts w:ascii="宋体" w:hAnsi="宋体" w:eastAsia="宋体"/>
          <w:b/>
          <w:bCs/>
          <w:sz w:val="36"/>
          <w:szCs w:val="36"/>
        </w:rPr>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第六部分  合同授予</w:t>
      </w:r>
      <w:bookmarkEnd w:id="6"/>
    </w:p>
    <w:p>
      <w:pPr>
        <w:spacing w:line="360" w:lineRule="auto"/>
        <w:ind w:firstLine="484" w:firstLineChars="202"/>
        <w:rPr>
          <w:rFonts w:ascii="宋体" w:hAnsi="宋体" w:eastAsia="宋体" w:cs="宋体"/>
          <w:kern w:val="0"/>
          <w:sz w:val="24"/>
          <w:szCs w:val="24"/>
        </w:rPr>
      </w:pPr>
      <w:bookmarkStart w:id="7" w:name="_Toc363573859"/>
      <w:r>
        <w:rPr>
          <w:rFonts w:hint="eastAsia" w:ascii="宋体" w:hAnsi="宋体" w:eastAsia="宋体" w:cs="宋体"/>
          <w:kern w:val="0"/>
          <w:sz w:val="24"/>
          <w:szCs w:val="24"/>
        </w:rPr>
        <w:t>一、中标人在接到代理机构发出送达的《成交通知书》后</w:t>
      </w:r>
      <w:r>
        <w:rPr>
          <w:rFonts w:hint="eastAsia" w:ascii="宋体" w:hAnsi="宋体" w:eastAsia="宋体"/>
          <w:sz w:val="24"/>
          <w:szCs w:val="24"/>
        </w:rPr>
        <w:t>15日</w:t>
      </w:r>
      <w:r>
        <w:rPr>
          <w:rFonts w:hint="eastAsia" w:ascii="宋体" w:hAnsi="宋体" w:eastAsia="宋体" w:cs="宋体"/>
          <w:kern w:val="0"/>
          <w:sz w:val="24"/>
          <w:szCs w:val="24"/>
        </w:rPr>
        <w:t>内与采购人签订采购合同。合同一式肆份，采购人、投标人各贰份。所签合同不得对采购文件作实质性修改，否则，由此给采购人造成损失的，中标人还应承担赔偿责任。采购人不得向中标人提出不合理的要求作为签订合同的条件，不得与中标人私下订立背离招标文件实质性内容的协议。</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二、招标文件、中标人的投标文件及招标评审过程中有关书面澄清、承诺等均应作为合同附件，具有同等的法律效力。</w:t>
      </w:r>
    </w:p>
    <w:p>
      <w:pPr>
        <w:spacing w:line="360" w:lineRule="auto"/>
        <w:ind w:firstLine="484" w:firstLineChars="202"/>
        <w:rPr>
          <w:rFonts w:ascii="宋体" w:hAnsi="宋体" w:cs="宋体"/>
          <w:kern w:val="0"/>
        </w:rPr>
      </w:pPr>
      <w:r>
        <w:rPr>
          <w:rFonts w:hint="eastAsia" w:ascii="宋体" w:hAnsi="宋体" w:eastAsia="宋体" w:cs="宋体"/>
          <w:kern w:val="0"/>
          <w:sz w:val="24"/>
          <w:szCs w:val="24"/>
        </w:rPr>
        <w:t>三、中标人不得采用转包、分包的形式履行合同，否则，采购人有权终止合同，造成采购人损失的，中标人应承担相应赔偿责任。</w:t>
      </w:r>
    </w:p>
    <w:p>
      <w:pPr>
        <w:tabs>
          <w:tab w:val="left" w:pos="1050"/>
          <w:tab w:val="right" w:leader="dot" w:pos="9402"/>
        </w:tabs>
        <w:spacing w:line="360" w:lineRule="auto"/>
        <w:jc w:val="center"/>
        <w:outlineLvl w:val="0"/>
        <w:rPr>
          <w:rFonts w:ascii="宋体" w:hAnsi="宋体" w:eastAsia="宋体" w:cs="宋体"/>
          <w:b/>
          <w:w w:val="80"/>
          <w:kern w:val="44"/>
          <w:sz w:val="24"/>
          <w:szCs w:val="24"/>
        </w:rPr>
      </w:pPr>
      <w:r>
        <w:rPr>
          <w:rFonts w:hint="eastAsia" w:ascii="宋体" w:hAnsi="宋体" w:eastAsia="宋体" w:cs="宋体"/>
          <w:b/>
          <w:w w:val="80"/>
          <w:sz w:val="32"/>
          <w:szCs w:val="32"/>
        </w:rPr>
        <w:t>第七部分  质疑与投诉</w:t>
      </w:r>
      <w:bookmarkEnd w:id="7"/>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一、质疑的提出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1、质疑人必须是直接参加本次投标活动的当事人。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下载招标文件的投标人应根据第二部分“投标人须知”中第一条第4款的约定提出；投标文件接收截止后，投标人未进行投标登记的，不能就投标文件接收截止后的招投标过程、成交结果提出质疑；在投标过程中，凡主持人或评标委员会明确提出须由投标人确认的事项，投标人当场无异议的，应当场签字，事后不得提出质疑。</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对不能提供相关佐证材料的、涉及商业秘密的、非书面形式的、非送达的、匿名的《质疑函》将不予受理。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相关佐证材料要具备客观性、关联性、合法性，无法查实的（如宣传册、媒体报道、猜测、推理等）不能作为佐证材料。</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采购人或代理机构不负责搜集相关佐证材料等工作。</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二、《质疑函》的受理和回复</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1、《质疑函》须由质疑人的法定代表人或参加本次投标授权人送达采购人和代理机构。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3、对不符合提出质疑要求的，出具《质疑退回通知书》并提出相关补充材料要求，质疑人未在规定的时间内提供补充佐证材料的，视同放弃质疑。</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4、采购人、代理机构负责将质疑人提出的质疑相关材料提供给相关专家或评标委员会审核，并将审核意见回复质疑人。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5、因质疑情况复杂，组织论证或审查时间较长的，采购人、代理机构以书面形式通知质疑人，可适当延长质疑回复处理时间。</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三、质疑处理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1、质疑成立的处理。采购人或代理机构终止采购，并建议有关部门给相关当事人予以处理。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2、质疑不成立的处理。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1）质疑人书面《申请撤回质疑函》的，不作违约处理。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2）质疑人在规定的时间内不配合进行质疑调查处理的，按自动撤回《质疑函》处理。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3）质疑人不按《质疑函》格式就提出质疑的，作违约处理。同时，视情列入不良投标人名单。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4）质疑人虽提供了相关佐证材料，但不能证明其质疑成立的，采购人或代理机构请质疑人补充相关佐证材料，仍不能证明其质疑成立的，作违约处理。并将其列入不良投标人名单。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5）质疑人不能提供相关佐证材料的，采购人、代理机构已指出，质疑人仍然坚持提出质疑的，作违约处理。同时，列入不良投标人名单。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明显有违事实的、经相关专家或评标委员会认定无依据的、经其他投标人举证无依据的质疑，作违约处理，列入不良投标人名单；同时，对其中每一项不成立的质疑给予质疑人1年内禁入本单位的采购活动的违约处理，依次类推；视情在南通汽运网等相关媒体予以披露。</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7）质疑人承担使用虚假材料或恶意方式质疑的法律责任。</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无佐证材料的举报作违约处理。投标人不得进行不提供相关佐证材料（含无法查实的如宣传册、媒体报道、猜测、推理等）向有关部门的举报，否则作违约处理。同时对其在1至3年内禁入由采购人组织的采购活动的违约处理。</w:t>
      </w:r>
    </w:p>
    <w:p>
      <w:pPr>
        <w:adjustRightInd w:val="0"/>
        <w:snapToGrid w:val="0"/>
        <w:spacing w:line="360" w:lineRule="auto"/>
        <w:ind w:firstLine="480" w:firstLineChars="200"/>
        <w:rPr>
          <w:rFonts w:ascii="宋体" w:hAnsi="宋体" w:eastAsia="宋体" w:cs="宋体"/>
          <w:sz w:val="24"/>
          <w:szCs w:val="24"/>
        </w:rPr>
      </w:pPr>
      <w:bookmarkStart w:id="8" w:name="_Toc363573860"/>
      <w:r>
        <w:rPr>
          <w:rFonts w:hint="eastAsia" w:ascii="宋体" w:hAnsi="宋体" w:eastAsia="宋体" w:cs="宋体"/>
          <w:sz w:val="24"/>
          <w:szCs w:val="24"/>
        </w:rPr>
        <w:t>五、投诉的提出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质疑人对采购人的答复不满意或者采购人未在规定的时间内做出答复的，可以在答复期满后15个工作日内向采购人的上级主管部门投诉。</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六、投诉不成立的作违约处理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投标人进行质疑后，采购人回复质疑不成立，投标人仍进行投诉的，并最终投诉不成立的，对其在1至3年内禁入采购人单位的采购活动。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七、质疑、举报、投诉不成立的等相关情况</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《质疑函》、《质疑回复函》，质疑、举报、投诉不成立的等相关情况，视情在南通汽运相关媒体予以披露，并建议相关采购机构对该投标人同步实施1至3年内禁入。</w:t>
      </w:r>
    </w:p>
    <w:p>
      <w:pPr>
        <w:pStyle w:val="2"/>
      </w:pPr>
    </w:p>
    <w:p>
      <w:pPr>
        <w:pStyle w:val="5"/>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第八部分  投标文件组成及格式</w:t>
      </w:r>
      <w:bookmarkEnd w:id="8"/>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一、投标文件组成</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投标文件由资格审查文件、技术标、商务标三部分组成。本次招标采用资格后审方式。</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（一）资格审查文件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1、投标供应商符合《政府采购法》第二十二条规定条件的声明函（格式见附件1）；</w:t>
      </w:r>
    </w:p>
    <w:p>
      <w:pPr>
        <w:spacing w:line="360" w:lineRule="auto"/>
        <w:ind w:firstLine="480" w:firstLineChars="200"/>
        <w:rPr>
          <w:rFonts w:ascii="宋体" w:hAnsi="宋体" w:eastAsia="宋体" w:cs="楷体"/>
          <w:sz w:val="21"/>
          <w:szCs w:val="21"/>
        </w:rPr>
      </w:pPr>
      <w:r>
        <w:rPr>
          <w:rFonts w:hint="eastAsia" w:ascii="宋体" w:hAnsi="宋体" w:eastAsia="宋体"/>
          <w:sz w:val="24"/>
          <w:szCs w:val="24"/>
        </w:rPr>
        <w:t>2、提供</w:t>
      </w:r>
      <w:r>
        <w:rPr>
          <w:rFonts w:hint="eastAsia" w:ascii="宋体" w:hAnsi="宋体" w:eastAsia="宋体" w:cs="宋体"/>
          <w:sz w:val="24"/>
          <w:szCs w:val="24"/>
        </w:rPr>
        <w:t>法人或者其他组织的营业执照</w:t>
      </w:r>
      <w:r>
        <w:rPr>
          <w:rFonts w:hint="eastAsia" w:ascii="宋体" w:hAnsi="宋体" w:eastAsia="宋体"/>
          <w:sz w:val="24"/>
          <w:szCs w:val="24"/>
        </w:rPr>
        <w:t>原件的复印件（须加盖公章）；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sz w:val="24"/>
          <w:szCs w:val="24"/>
        </w:rPr>
        <w:t>法定代表人参加投标的，必须提供法定代表人身份证明（须加盖公章）；非法定代表人参加的，必须提供法定代表人签名或盖章的授权委托书（须加盖公章，格式参见第八部分）</w:t>
      </w:r>
    </w:p>
    <w:p>
      <w:pPr>
        <w:spacing w:line="360" w:lineRule="auto"/>
        <w:ind w:firstLine="480" w:firstLineChars="200"/>
        <w:contextualSpacing/>
        <w:rPr>
          <w:rFonts w:ascii="宋体" w:hAnsi="宋体" w:eastAsia="宋体" w:cs="宋体"/>
          <w:color w:val="000000"/>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制造商需具有有效的中华人民共和国特种设备安装改造维修许可证（乘客电梯、载货电梯 ）A级资质或特种设备生产许可资质（含曳引驱动乘客电梯（含消防员电梯）、曳引驱动载货电梯和强制驱动载货电梯(含防爆电梯中的载货电梯)）；代理商需具有有效的中华人民共和国特种设备安装改造维修许可证（乘客电梯、载货电梯 ）A级资质或特种生产许可资质（安装维修）（含曳引驱动乘客电梯（含消防员电梯）、曳引驱动载货电梯和强制驱动载货电梯(含防爆电梯中的载货电梯)）。</w:t>
      </w:r>
    </w:p>
    <w:p>
      <w:pPr>
        <w:spacing w:line="360" w:lineRule="auto"/>
        <w:ind w:firstLine="480" w:firstLineChars="200"/>
        <w:rPr>
          <w:rFonts w:ascii="宋体" w:hAnsi="宋体" w:eastAsia="宋体" w:cs="宋体"/>
          <w:sz w:val="24"/>
          <w:szCs w:val="24"/>
        </w:rPr>
      </w:pPr>
      <w:r>
        <w:rPr>
          <w:rFonts w:ascii="宋体" w:hAnsi="宋体" w:eastAsia="宋体"/>
          <w:bCs/>
          <w:sz w:val="24"/>
          <w:szCs w:val="24"/>
        </w:rPr>
        <w:t>（二）技术</w:t>
      </w:r>
      <w:r>
        <w:rPr>
          <w:rFonts w:ascii="宋体" w:hAnsi="宋体" w:eastAsia="宋体" w:cs="宋体"/>
          <w:sz w:val="24"/>
          <w:szCs w:val="24"/>
        </w:rPr>
        <w:t>标</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1、投标响应函；（格式参见第八部分）</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2、投标人一般情况表；（格式参见第八部分）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3、电梯配件及价格清单；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评标办法中所涉及的事项需提供的所有资料；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、评标办法中未涉及的事项，投标人认为需要提交的其他资料</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、招标文件中要求提供的其他材料。</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注：为方便评委评审，请投标人按评标办法中所涉及的事项顺序进行编制，可以补充相关材料。</w:t>
      </w:r>
    </w:p>
    <w:p>
      <w:pPr>
        <w:spacing w:line="360" w:lineRule="auto"/>
        <w:ind w:firstLine="482" w:firstLineChars="200"/>
        <w:rPr>
          <w:rFonts w:ascii="宋体" w:hAnsi="宋体" w:eastAsia="宋体" w:cs="宋体"/>
          <w:sz w:val="24"/>
          <w:szCs w:val="24"/>
        </w:rPr>
      </w:pPr>
      <w:r>
        <w:rPr>
          <w:rFonts w:ascii="宋体" w:hAnsi="宋体" w:eastAsia="宋体"/>
          <w:b/>
          <w:bCs/>
          <w:sz w:val="24"/>
          <w:szCs w:val="24"/>
        </w:rPr>
        <w:t>特别提醒：“资格审查文件”、</w:t>
      </w:r>
      <w:r>
        <w:rPr>
          <w:rFonts w:hint="eastAsia" w:ascii="宋体" w:hAnsi="宋体" w:eastAsia="宋体"/>
          <w:b/>
          <w:bCs/>
          <w:sz w:val="24"/>
          <w:szCs w:val="24"/>
        </w:rPr>
        <w:t>“技术标”</w:t>
      </w:r>
      <w:r>
        <w:rPr>
          <w:rFonts w:ascii="宋体" w:hAnsi="宋体" w:eastAsia="宋体"/>
          <w:b/>
          <w:bCs/>
          <w:sz w:val="24"/>
          <w:szCs w:val="24"/>
        </w:rPr>
        <w:t>所须提供的材料按招标文件要求递交。</w:t>
      </w:r>
      <w:r>
        <w:rPr>
          <w:rFonts w:hint="eastAsia" w:ascii="宋体" w:hAnsi="宋体" w:eastAsia="宋体" w:cs="宋体"/>
          <w:b/>
          <w:bCs/>
          <w:sz w:val="24"/>
          <w:szCs w:val="24"/>
        </w:rPr>
        <w:t>以上材料如为复印件均需加盖投标人公章。</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（三）商务标</w:t>
      </w:r>
    </w:p>
    <w:p>
      <w:pPr>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开标一览表</w:t>
      </w:r>
      <w:r>
        <w:rPr>
          <w:rFonts w:ascii="宋体" w:hAnsi="宋体" w:eastAsia="宋体" w:cs="宋体"/>
          <w:sz w:val="24"/>
          <w:szCs w:val="24"/>
        </w:rPr>
        <w:t>（格式参见第八部分）</w:t>
      </w:r>
      <w:r>
        <w:rPr>
          <w:rFonts w:hint="eastAsia" w:ascii="宋体" w:hAnsi="宋体" w:eastAsia="宋体" w:cs="宋体"/>
          <w:sz w:val="24"/>
          <w:szCs w:val="24"/>
        </w:rPr>
        <w:t>；</w:t>
      </w:r>
    </w:p>
    <w:p>
      <w:pPr>
        <w:spacing w:line="360" w:lineRule="auto"/>
        <w:rPr>
          <w:rFonts w:ascii="宋体" w:hAnsi="宋体" w:eastAsia="宋体" w:cs="宋体"/>
          <w:sz w:val="24"/>
          <w:szCs w:val="24"/>
        </w:rPr>
      </w:pPr>
    </w:p>
    <w:p>
      <w:pPr>
        <w:pStyle w:val="2"/>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360" w:lineRule="auto"/>
        <w:rPr>
          <w:rFonts w:ascii="宋体" w:hAnsi="宋体" w:eastAsia="宋体" w:cs="宋体"/>
          <w:sz w:val="24"/>
          <w:szCs w:val="24"/>
        </w:rPr>
      </w:pPr>
      <w:r>
        <w:rPr>
          <w:rFonts w:hint="eastAsia" w:ascii="宋体" w:hAnsi="宋体" w:eastAsia="宋体" w:cs="宋体"/>
          <w:sz w:val="24"/>
          <w:szCs w:val="24"/>
        </w:rPr>
        <w:t>相关附件：</w:t>
      </w:r>
    </w:p>
    <w:p>
      <w:pPr>
        <w:pStyle w:val="2"/>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一、投标供应商符合《政府采购法》第二十二条规定条件的声明函</w:t>
      </w:r>
    </w:p>
    <w:p>
      <w:pPr>
        <w:spacing w:line="460" w:lineRule="exact"/>
        <w:rPr>
          <w:rFonts w:ascii="宋体" w:hAnsi="宋体" w:eastAsia="宋体"/>
          <w:b/>
          <w:bCs/>
          <w:sz w:val="44"/>
          <w:szCs w:val="44"/>
        </w:rPr>
      </w:pPr>
    </w:p>
    <w:p>
      <w:pPr>
        <w:spacing w:line="460" w:lineRule="exact"/>
        <w:ind w:firstLine="480" w:firstLineChars="200"/>
        <w:rPr>
          <w:rFonts w:ascii="宋体" w:hAnsi="宋体" w:eastAsia="宋体" w:cs="仿宋_GB2312"/>
          <w:b/>
          <w:bCs/>
          <w:sz w:val="24"/>
          <w:szCs w:val="24"/>
        </w:rPr>
      </w:pPr>
      <w:r>
        <w:rPr>
          <w:rFonts w:hint="eastAsia" w:ascii="宋体" w:hAnsi="宋体" w:eastAsia="宋体" w:cs="仿宋_GB2312"/>
          <w:bCs/>
          <w:sz w:val="24"/>
          <w:szCs w:val="24"/>
        </w:rPr>
        <w:t>我单位参加</w:t>
      </w:r>
      <w:r>
        <w:rPr>
          <w:rFonts w:hint="eastAsia" w:ascii="宋体" w:hAnsi="宋体" w:eastAsia="宋体" w:cs="仿宋_GB2312"/>
          <w:bCs/>
          <w:sz w:val="24"/>
          <w:szCs w:val="21"/>
          <w:u w:val="single"/>
        </w:rPr>
        <w:t>________________ _</w:t>
      </w:r>
      <w:r>
        <w:rPr>
          <w:rFonts w:hint="eastAsia" w:ascii="宋体" w:hAnsi="宋体" w:eastAsia="宋体" w:cs="仿宋_GB2312"/>
          <w:bCs/>
          <w:sz w:val="24"/>
          <w:szCs w:val="21"/>
        </w:rPr>
        <w:t>（项目名称）投标活动。针对《中华人民共和国政府采购法》第二十二条规定做出如下声明：</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bCs/>
          <w:sz w:val="24"/>
          <w:szCs w:val="21"/>
        </w:rPr>
        <w:t>1.我单位具有独立承担民事责任的能力；</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2.我单位具有良好的商业信誉和健全的财务会计制度；</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3.我单位具有履行合同所必需的设备和专业技术能力；</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4.我单位有依法缴纳税收和社会保障资金的良好记录；</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5.我单位参加政府采购活动前三年内，在经营活动中没有重大违法记录；</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 6.我单位满足法律、行政法规规定的其他条件。</w:t>
      </w: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460" w:lineRule="exact"/>
        <w:ind w:firstLine="480" w:firstLineChars="200"/>
        <w:jc w:val="center"/>
        <w:rPr>
          <w:rFonts w:ascii="宋体" w:hAnsi="宋体" w:eastAsia="宋体" w:cs="仿宋_GB2312"/>
          <w:bCs/>
          <w:sz w:val="24"/>
          <w:szCs w:val="21"/>
        </w:rPr>
      </w:pPr>
      <w:r>
        <w:rPr>
          <w:rFonts w:hint="eastAsia" w:ascii="宋体" w:hAnsi="宋体" w:eastAsia="宋体" w:cs="仿宋_GB2312"/>
          <w:bCs/>
          <w:sz w:val="24"/>
          <w:szCs w:val="21"/>
        </w:rPr>
        <w:t>承诺人名称（公章）：</w:t>
      </w:r>
    </w:p>
    <w:p>
      <w:pPr>
        <w:spacing w:line="460" w:lineRule="exact"/>
        <w:ind w:firstLine="480" w:firstLineChars="200"/>
        <w:jc w:val="right"/>
        <w:rPr>
          <w:rFonts w:ascii="宋体" w:hAnsi="宋体" w:eastAsia="宋体" w:cs="仿宋_GB2312"/>
          <w:bCs/>
          <w:sz w:val="24"/>
          <w:szCs w:val="21"/>
        </w:rPr>
      </w:pPr>
    </w:p>
    <w:p>
      <w:pPr>
        <w:spacing w:line="460" w:lineRule="exact"/>
        <w:ind w:firstLine="480" w:firstLineChars="200"/>
        <w:jc w:val="right"/>
        <w:rPr>
          <w:rFonts w:ascii="宋体" w:hAnsi="宋体" w:eastAsia="宋体" w:cs="仿宋_GB2312"/>
          <w:bCs/>
          <w:sz w:val="24"/>
          <w:szCs w:val="21"/>
        </w:rPr>
      </w:pPr>
      <w:r>
        <w:rPr>
          <w:rFonts w:hint="eastAsia" w:ascii="宋体" w:hAnsi="宋体" w:eastAsia="宋体" w:cs="仿宋_GB2312"/>
          <w:bCs/>
          <w:sz w:val="24"/>
          <w:szCs w:val="21"/>
        </w:rPr>
        <w:t xml:space="preserve">                                 日期：</w:t>
      </w:r>
      <w:r>
        <w:rPr>
          <w:rFonts w:hint="eastAsia" w:ascii="宋体" w:hAnsi="宋体" w:eastAsia="宋体" w:cs="仿宋_GB2312"/>
          <w:bCs/>
          <w:sz w:val="24"/>
          <w:szCs w:val="21"/>
          <w:u w:val="single"/>
        </w:rPr>
        <w:t>______</w:t>
      </w:r>
      <w:r>
        <w:rPr>
          <w:rFonts w:hint="eastAsia" w:ascii="宋体" w:hAnsi="宋体" w:eastAsia="宋体" w:cs="仿宋_GB2312"/>
          <w:bCs/>
          <w:sz w:val="24"/>
          <w:szCs w:val="21"/>
        </w:rPr>
        <w:t>年  月  日</w:t>
      </w:r>
    </w:p>
    <w:p>
      <w:pPr>
        <w:pStyle w:val="2"/>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ind w:firstLine="0" w:firstLineChars="0"/>
      </w:pPr>
    </w:p>
    <w:p>
      <w:pPr>
        <w:spacing w:line="360" w:lineRule="auto"/>
        <w:rPr>
          <w:rFonts w:ascii="宋体" w:hAnsi="宋体" w:eastAsia="宋体" w:cs="宋体"/>
          <w:b/>
          <w:bCs/>
          <w:sz w:val="24"/>
          <w:szCs w:val="24"/>
        </w:rPr>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二、法定代表人身份证明</w:t>
      </w:r>
    </w:p>
    <w:p>
      <w:pPr>
        <w:spacing w:line="360" w:lineRule="auto"/>
        <w:rPr>
          <w:rFonts w:ascii="宋体" w:hAnsi="宋体" w:eastAsia="宋体" w:cs="宋体"/>
          <w:sz w:val="24"/>
          <w:szCs w:val="24"/>
        </w:rPr>
      </w:pPr>
    </w:p>
    <w:p>
      <w:pPr>
        <w:spacing w:line="360" w:lineRule="auto"/>
        <w:rPr>
          <w:rFonts w:ascii="宋体" w:hAnsi="宋体" w:eastAsia="宋体" w:cs="宋体"/>
          <w:bCs/>
          <w:sz w:val="24"/>
          <w:szCs w:val="24"/>
        </w:rPr>
      </w:pPr>
      <w:r>
        <w:rPr>
          <w:rFonts w:hint="eastAsia" w:ascii="宋体" w:hAnsi="宋体" w:eastAsia="宋体" w:cs="宋体"/>
          <w:bCs/>
          <w:sz w:val="24"/>
          <w:szCs w:val="24"/>
        </w:rPr>
        <w:t>南通农副产品物流有限公司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我公司法定代表人参加贵单位组织的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项目公开招标采购活动，全权代表我公司处理投标的有关事宜。</w:t>
      </w:r>
    </w:p>
    <w:p>
      <w:pPr>
        <w:spacing w:line="360" w:lineRule="auto"/>
        <w:rPr>
          <w:rFonts w:ascii="宋体" w:hAnsi="宋体" w:eastAsia="宋体" w:cs="宋体"/>
          <w:sz w:val="24"/>
          <w:szCs w:val="24"/>
        </w:rPr>
      </w:pPr>
      <w:r>
        <w:rPr>
          <w:rFonts w:hint="eastAsia" w:ascii="宋体" w:hAnsi="宋体" w:eastAsia="宋体" w:cs="宋体"/>
          <w:sz w:val="24"/>
          <w:szCs w:val="24"/>
        </w:rPr>
        <w:t>附：法定代表人情况：</w:t>
      </w:r>
    </w:p>
    <w:p>
      <w:pPr>
        <w:spacing w:line="360" w:lineRule="auto"/>
        <w:rPr>
          <w:rFonts w:ascii="宋体" w:hAnsi="宋体" w:eastAsia="宋体" w:cs="宋体"/>
          <w:sz w:val="24"/>
          <w:szCs w:val="24"/>
          <w:u w:val="single"/>
        </w:rPr>
      </w:pPr>
      <w:r>
        <w:rPr>
          <w:rFonts w:hint="eastAsia" w:ascii="宋体" w:hAnsi="宋体" w:eastAsia="宋体" w:cs="宋体"/>
          <w:sz w:val="24"/>
          <w:szCs w:val="24"/>
        </w:rPr>
        <w:t>姓名： 性别：年龄：职务：</w:t>
      </w:r>
    </w:p>
    <w:p>
      <w:pPr>
        <w:spacing w:line="360" w:lineRule="auto"/>
        <w:rPr>
          <w:rFonts w:ascii="宋体" w:hAnsi="宋体" w:eastAsia="宋体" w:cs="宋体"/>
          <w:sz w:val="24"/>
          <w:szCs w:val="24"/>
        </w:rPr>
      </w:pPr>
      <w:r>
        <w:rPr>
          <w:rFonts w:hint="eastAsia" w:ascii="宋体" w:hAnsi="宋体" w:eastAsia="宋体" w:cs="宋体"/>
          <w:sz w:val="24"/>
          <w:szCs w:val="24"/>
        </w:rPr>
        <w:t>身份证号码：</w:t>
      </w:r>
    </w:p>
    <w:p>
      <w:pPr>
        <w:spacing w:line="360" w:lineRule="auto"/>
        <w:rPr>
          <w:rFonts w:ascii="宋体" w:hAnsi="宋体" w:eastAsia="宋体" w:cs="宋体"/>
          <w:sz w:val="24"/>
          <w:szCs w:val="24"/>
        </w:rPr>
      </w:pPr>
      <w:r>
        <w:rPr>
          <w:rFonts w:hint="eastAsia" w:ascii="宋体" w:hAnsi="宋体" w:eastAsia="宋体" w:cs="宋体"/>
          <w:sz w:val="24"/>
          <w:szCs w:val="24"/>
        </w:rPr>
        <w:t>手机：传真：</w:t>
      </w:r>
    </w:p>
    <w:p>
      <w:pPr>
        <w:spacing w:line="360" w:lineRule="auto"/>
        <w:rPr>
          <w:rFonts w:ascii="宋体" w:hAnsi="宋体" w:eastAsia="宋体" w:cs="宋体"/>
          <w:sz w:val="24"/>
          <w:szCs w:val="24"/>
        </w:rPr>
      </w:pPr>
      <w:r>
        <w:rPr>
          <w:rFonts w:hint="eastAsia" w:ascii="宋体" w:hAnsi="宋体" w:eastAsia="宋体" w:cs="宋体"/>
          <w:sz w:val="24"/>
          <w:szCs w:val="24"/>
        </w:rPr>
        <w:t>单位名称（公章）             法定代表人（签字或盖章）</w:t>
      </w:r>
    </w:p>
    <w:p>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 xml:space="preserve">年   月   日                 年   月    日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法定代表人身份证扫描件（正反面）</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sz w:val="24"/>
          <w:szCs w:val="24"/>
        </w:rPr>
      </w:pPr>
      <w:r>
        <w:rPr>
          <w:rFonts w:hint="eastAsia" w:ascii="宋体" w:hAnsi="宋体" w:eastAsia="宋体" w:cs="宋体"/>
          <w:sz w:val="24"/>
          <w:szCs w:val="24"/>
        </w:rPr>
        <w:t>（粘贴此处）</w:t>
      </w:r>
    </w:p>
    <w:p>
      <w:pPr>
        <w:spacing w:line="360" w:lineRule="auto"/>
        <w:ind w:firstLine="2289" w:firstLineChars="950"/>
        <w:rPr>
          <w:rFonts w:ascii="宋体" w:hAnsi="宋体" w:eastAsia="宋体" w:cs="宋体"/>
          <w:b/>
          <w:bCs/>
          <w:sz w:val="24"/>
          <w:szCs w:val="24"/>
        </w:rPr>
      </w:pPr>
    </w:p>
    <w:p>
      <w:pPr>
        <w:spacing w:line="360" w:lineRule="auto"/>
        <w:ind w:firstLine="482" w:firstLineChars="200"/>
        <w:rPr>
          <w:rFonts w:ascii="宋体" w:hAnsi="宋体" w:eastAsia="宋体" w:cs="宋体"/>
          <w:b/>
          <w:bCs/>
          <w:sz w:val="24"/>
          <w:szCs w:val="24"/>
        </w:rPr>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三、授权委托书</w:t>
      </w:r>
    </w:p>
    <w:p>
      <w:pPr>
        <w:spacing w:line="360" w:lineRule="auto"/>
        <w:jc w:val="center"/>
        <w:rPr>
          <w:rFonts w:ascii="宋体" w:hAnsi="宋体" w:eastAsia="宋体" w:cs="宋体"/>
          <w:b/>
          <w:bCs/>
          <w:sz w:val="24"/>
          <w:szCs w:val="24"/>
        </w:rPr>
      </w:pPr>
    </w:p>
    <w:p>
      <w:pPr>
        <w:snapToGrid w:val="0"/>
        <w:spacing w:line="360" w:lineRule="auto"/>
        <w:rPr>
          <w:rFonts w:ascii="宋体" w:hAnsi="宋体" w:eastAsia="宋体" w:cs="宋体"/>
          <w:sz w:val="24"/>
          <w:szCs w:val="24"/>
        </w:rPr>
      </w:pPr>
      <w:r>
        <w:rPr>
          <w:rFonts w:hint="eastAsia" w:ascii="宋体" w:hAnsi="宋体" w:eastAsia="宋体" w:cs="宋体"/>
          <w:bCs/>
          <w:sz w:val="24"/>
          <w:szCs w:val="24"/>
        </w:rPr>
        <w:t xml:space="preserve">南通农副产品物流有限公司 </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被授权人的姓名）代表我公司参加</w:t>
      </w:r>
      <w:r>
        <w:rPr>
          <w:rFonts w:hint="eastAsia" w:ascii="宋体" w:hAnsi="宋体" w:eastAsia="宋体" w:cs="宋体"/>
          <w:sz w:val="24"/>
          <w:szCs w:val="24"/>
          <w:u w:val="single"/>
        </w:rPr>
        <w:t>（项目名称)</w:t>
      </w:r>
      <w:r>
        <w:rPr>
          <w:rFonts w:hint="eastAsia" w:ascii="宋体" w:hAnsi="宋体" w:eastAsia="宋体" w:cs="宋体"/>
          <w:sz w:val="24"/>
          <w:szCs w:val="24"/>
        </w:rPr>
        <w:t>项目的政府采购活动，全权处理一切与该项目公开招标有关的事务。其在办理上述事宜过程中所签署的所有文件我公司均予以承认。</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被授权人无转委托权。特此委托。</w:t>
      </w:r>
    </w:p>
    <w:p>
      <w:pPr>
        <w:spacing w:line="360" w:lineRule="auto"/>
        <w:rPr>
          <w:rFonts w:ascii="宋体" w:hAnsi="宋体" w:eastAsia="宋体" w:cs="宋体"/>
          <w:sz w:val="24"/>
          <w:szCs w:val="24"/>
        </w:rPr>
      </w:pPr>
      <w:r>
        <w:rPr>
          <w:rFonts w:hint="eastAsia" w:ascii="宋体" w:hAnsi="宋体" w:eastAsia="宋体" w:cs="宋体"/>
          <w:sz w:val="24"/>
          <w:szCs w:val="24"/>
        </w:rPr>
        <w:t>附：被授权人情况：</w:t>
      </w:r>
    </w:p>
    <w:p>
      <w:pPr>
        <w:spacing w:line="360" w:lineRule="auto"/>
        <w:rPr>
          <w:rFonts w:ascii="宋体" w:hAnsi="宋体" w:eastAsia="宋体" w:cs="宋体"/>
          <w:sz w:val="24"/>
          <w:szCs w:val="24"/>
          <w:u w:val="single"/>
        </w:rPr>
      </w:pPr>
      <w:r>
        <w:rPr>
          <w:rFonts w:hint="eastAsia" w:ascii="宋体" w:hAnsi="宋体" w:eastAsia="宋体" w:cs="宋体"/>
          <w:sz w:val="24"/>
          <w:szCs w:val="24"/>
        </w:rPr>
        <w:t>姓名： 性别：年龄：职务：</w:t>
      </w:r>
    </w:p>
    <w:p>
      <w:pPr>
        <w:spacing w:line="360" w:lineRule="auto"/>
        <w:rPr>
          <w:rFonts w:ascii="宋体" w:hAnsi="宋体" w:eastAsia="宋体" w:cs="宋体"/>
          <w:sz w:val="24"/>
          <w:szCs w:val="24"/>
        </w:rPr>
      </w:pPr>
      <w:r>
        <w:rPr>
          <w:rFonts w:hint="eastAsia" w:ascii="宋体" w:hAnsi="宋体" w:eastAsia="宋体" w:cs="宋体"/>
          <w:sz w:val="24"/>
          <w:szCs w:val="24"/>
        </w:rPr>
        <w:t>身份证号码：</w:t>
      </w:r>
    </w:p>
    <w:p>
      <w:pPr>
        <w:spacing w:line="360" w:lineRule="auto"/>
        <w:rPr>
          <w:rFonts w:ascii="宋体" w:hAnsi="宋体" w:eastAsia="宋体" w:cs="宋体"/>
          <w:sz w:val="24"/>
          <w:szCs w:val="24"/>
        </w:rPr>
      </w:pPr>
      <w:r>
        <w:rPr>
          <w:rFonts w:hint="eastAsia" w:ascii="宋体" w:hAnsi="宋体" w:eastAsia="宋体" w:cs="宋体"/>
          <w:sz w:val="24"/>
          <w:szCs w:val="24"/>
        </w:rPr>
        <w:t>手机：传真：</w:t>
      </w:r>
    </w:p>
    <w:p>
      <w:pPr>
        <w:spacing w:line="360" w:lineRule="auto"/>
        <w:rPr>
          <w:rFonts w:ascii="宋体" w:hAnsi="宋体" w:eastAsia="宋体" w:cs="宋体"/>
          <w:sz w:val="24"/>
          <w:szCs w:val="24"/>
        </w:rPr>
      </w:pPr>
      <w:r>
        <w:rPr>
          <w:rFonts w:hint="eastAsia" w:ascii="宋体" w:hAnsi="宋体" w:eastAsia="宋体" w:cs="宋体"/>
          <w:sz w:val="24"/>
          <w:szCs w:val="24"/>
        </w:rPr>
        <w:t>单位名称（公章）             法定代表人（签字或盖章）</w:t>
      </w:r>
    </w:p>
    <w:p>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 xml:space="preserve">年   月   日                 年   月    日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法定代表人身份证扫描件（正反面）</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sz w:val="24"/>
          <w:szCs w:val="24"/>
        </w:rPr>
      </w:pPr>
      <w:r>
        <w:rPr>
          <w:rFonts w:hint="eastAsia" w:ascii="宋体" w:hAnsi="宋体" w:eastAsia="宋体" w:cs="宋体"/>
          <w:sz w:val="24"/>
          <w:szCs w:val="24"/>
        </w:rPr>
        <w:t>（粘贴此处）</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被授权人身份证扫描件（正反面）</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b/>
          <w:bCs/>
          <w:sz w:val="24"/>
          <w:szCs w:val="24"/>
        </w:rPr>
      </w:pPr>
      <w:r>
        <w:rPr>
          <w:rFonts w:hint="eastAsia" w:ascii="宋体" w:hAnsi="宋体" w:eastAsia="宋体" w:cs="宋体"/>
          <w:sz w:val="24"/>
          <w:szCs w:val="24"/>
        </w:rPr>
        <w:t>（粘贴此处）</w:t>
      </w:r>
    </w:p>
    <w:p>
      <w:pPr>
        <w:spacing w:line="360" w:lineRule="auto"/>
        <w:rPr>
          <w:rFonts w:hAnsi="宋体"/>
          <w:bCs/>
          <w:sz w:val="24"/>
          <w:szCs w:val="24"/>
        </w:rPr>
      </w:pPr>
      <w:r>
        <w:rPr>
          <w:rFonts w:hint="eastAsia" w:ascii="宋体" w:hAnsi="宋体" w:eastAsia="宋体" w:cs="宋体"/>
          <w:b/>
          <w:sz w:val="24"/>
          <w:szCs w:val="24"/>
        </w:rPr>
        <w:br w:type="page"/>
      </w:r>
      <w:bookmarkStart w:id="9" w:name="_Toc29615"/>
    </w:p>
    <w:p>
      <w:pPr>
        <w:spacing w:line="360" w:lineRule="auto"/>
        <w:jc w:val="center"/>
        <w:rPr>
          <w:rFonts w:ascii="宋体" w:hAnsi="宋体" w:eastAsia="宋体"/>
          <w:b/>
          <w:bCs/>
          <w:sz w:val="24"/>
          <w:szCs w:val="24"/>
        </w:rPr>
      </w:pPr>
      <w:r>
        <w:rPr>
          <w:rFonts w:hint="eastAsia" w:ascii="宋体" w:hAnsi="宋体" w:eastAsia="宋体"/>
          <w:b/>
          <w:bCs/>
          <w:sz w:val="24"/>
          <w:szCs w:val="24"/>
        </w:rPr>
        <w:t>四</w:t>
      </w:r>
      <w:r>
        <w:rPr>
          <w:rFonts w:ascii="宋体" w:hAnsi="宋体" w:eastAsia="宋体"/>
          <w:b/>
          <w:bCs/>
          <w:sz w:val="24"/>
          <w:szCs w:val="24"/>
        </w:rPr>
        <w:t>、投标响应函</w:t>
      </w:r>
    </w:p>
    <w:p>
      <w:pPr>
        <w:spacing w:line="360" w:lineRule="auto"/>
        <w:jc w:val="center"/>
        <w:rPr>
          <w:rFonts w:ascii="宋体" w:hAnsi="宋体" w:eastAsia="宋体"/>
          <w:b/>
          <w:bCs/>
          <w:sz w:val="24"/>
          <w:szCs w:val="24"/>
        </w:rPr>
      </w:pPr>
    </w:p>
    <w:p>
      <w:pPr>
        <w:snapToGrid w:val="0"/>
        <w:spacing w:beforeLines="100" w:afterLines="100" w:line="420" w:lineRule="exact"/>
        <w:rPr>
          <w:rFonts w:eastAsia="宋体"/>
          <w:sz w:val="24"/>
          <w:szCs w:val="24"/>
          <w:u w:val="single"/>
        </w:rPr>
      </w:pPr>
      <w:r>
        <w:rPr>
          <w:rFonts w:hint="eastAsia" w:eastAsia="宋体" w:cs="宋体"/>
          <w:sz w:val="24"/>
          <w:szCs w:val="24"/>
          <w:u w:val="single"/>
        </w:rPr>
        <w:t>南通农副产品物流有限公司 ：</w:t>
      </w:r>
    </w:p>
    <w:p>
      <w:pPr>
        <w:spacing w:line="360" w:lineRule="auto"/>
        <w:ind w:firstLine="480" w:firstLineChars="200"/>
        <w:rPr>
          <w:rFonts w:ascii="宋体" w:hAnsi="宋体" w:eastAsia="宋体"/>
          <w:sz w:val="24"/>
          <w:szCs w:val="24"/>
        </w:rPr>
      </w:pPr>
      <w:r>
        <w:rPr>
          <w:rFonts w:ascii="宋体" w:hAnsi="宋体" w:eastAsia="宋体"/>
          <w:sz w:val="24"/>
          <w:szCs w:val="24"/>
        </w:rPr>
        <w:t>依据贵单位</w:t>
      </w:r>
      <w:r>
        <w:rPr>
          <w:rFonts w:ascii="宋体" w:hAnsi="宋体" w:eastAsia="宋体"/>
          <w:sz w:val="24"/>
          <w:szCs w:val="24"/>
          <w:u w:val="single"/>
        </w:rPr>
        <w:t>（项目名称)</w:t>
      </w:r>
      <w:r>
        <w:rPr>
          <w:rFonts w:ascii="宋体" w:hAnsi="宋体" w:eastAsia="宋体"/>
          <w:sz w:val="24"/>
          <w:szCs w:val="24"/>
        </w:rPr>
        <w:t>项目公开招标的邀请，我方授权</w:t>
      </w:r>
      <w:r>
        <w:rPr>
          <w:rFonts w:ascii="宋体" w:hAnsi="宋体" w:eastAsia="宋体"/>
          <w:sz w:val="24"/>
          <w:szCs w:val="24"/>
          <w:u w:val="single"/>
        </w:rPr>
        <w:t>（姓名）（职务）</w:t>
      </w:r>
      <w:r>
        <w:rPr>
          <w:rFonts w:ascii="宋体" w:hAnsi="宋体" w:eastAsia="宋体"/>
          <w:sz w:val="24"/>
          <w:szCs w:val="24"/>
        </w:rPr>
        <w:t>为全权代表参加该项目的投标，全权处理本次投标的有关事宜。同时，我公司声明如下：</w:t>
      </w:r>
    </w:p>
    <w:p>
      <w:pPr>
        <w:spacing w:line="360" w:lineRule="auto"/>
        <w:ind w:firstLine="480" w:firstLineChars="200"/>
        <w:rPr>
          <w:rFonts w:ascii="宋体" w:hAnsi="宋体" w:eastAsia="宋体"/>
          <w:sz w:val="24"/>
          <w:szCs w:val="24"/>
        </w:rPr>
      </w:pPr>
      <w:r>
        <w:rPr>
          <w:rFonts w:ascii="宋体" w:hAnsi="宋体" w:eastAsia="宋体"/>
          <w:sz w:val="24"/>
          <w:szCs w:val="24"/>
        </w:rPr>
        <w:t>1、同意并接受招标文件的各项要求，遵守招标文件中的各项规定，按招标文件的要求提供报价。</w:t>
      </w:r>
    </w:p>
    <w:p>
      <w:pPr>
        <w:spacing w:line="360" w:lineRule="auto"/>
        <w:ind w:firstLine="480" w:firstLineChars="200"/>
        <w:rPr>
          <w:rFonts w:ascii="宋体" w:hAnsi="宋体" w:eastAsia="宋体"/>
          <w:sz w:val="24"/>
          <w:szCs w:val="24"/>
        </w:rPr>
      </w:pPr>
      <w:r>
        <w:rPr>
          <w:rFonts w:ascii="宋体" w:hAnsi="宋体" w:eastAsia="宋体"/>
          <w:sz w:val="24"/>
          <w:szCs w:val="24"/>
        </w:rPr>
        <w:t>2、我公司已经详细阅读了全部招标文件及其附件，我方已完全清晰理解招标文件的要求，不存在任何含糊不清和误解之处，同意放弃对这些文件所提出的异议和质疑的权利。</w:t>
      </w:r>
    </w:p>
    <w:p>
      <w:pPr>
        <w:spacing w:line="360" w:lineRule="auto"/>
        <w:ind w:firstLine="480" w:firstLineChars="200"/>
        <w:rPr>
          <w:rFonts w:ascii="宋体" w:hAnsi="宋体" w:eastAsia="宋体"/>
          <w:sz w:val="24"/>
          <w:szCs w:val="24"/>
        </w:rPr>
      </w:pPr>
      <w:r>
        <w:rPr>
          <w:rFonts w:ascii="宋体" w:hAnsi="宋体" w:eastAsia="宋体"/>
          <w:sz w:val="24"/>
          <w:szCs w:val="24"/>
        </w:rPr>
        <w:t>3、我公司已毫无保留地向贵方提供一切所需的证明材料。</w:t>
      </w:r>
    </w:p>
    <w:p>
      <w:pPr>
        <w:spacing w:line="360" w:lineRule="auto"/>
        <w:ind w:firstLine="480" w:firstLineChars="200"/>
        <w:rPr>
          <w:rFonts w:ascii="宋体" w:hAnsi="宋体" w:eastAsia="宋体"/>
          <w:sz w:val="24"/>
          <w:szCs w:val="24"/>
        </w:rPr>
      </w:pPr>
      <w:r>
        <w:rPr>
          <w:rFonts w:ascii="宋体" w:hAnsi="宋体" w:eastAsia="宋体"/>
          <w:sz w:val="24"/>
          <w:szCs w:val="24"/>
        </w:rPr>
        <w:t>4、我公司承诺在本次投标中提供的一切文件，无论是原件还是复印件均真实合法有效，绝无任何虚假、伪造和夸大的成份。否则，愿承担相应的后果和法律责任。</w:t>
      </w:r>
    </w:p>
    <w:p>
      <w:pPr>
        <w:spacing w:line="360" w:lineRule="auto"/>
        <w:ind w:firstLine="480" w:firstLineChars="200"/>
        <w:rPr>
          <w:rFonts w:ascii="宋体" w:hAnsi="宋体" w:eastAsia="宋体"/>
          <w:sz w:val="24"/>
          <w:szCs w:val="24"/>
        </w:rPr>
      </w:pPr>
      <w:r>
        <w:rPr>
          <w:rFonts w:ascii="宋体" w:hAnsi="宋体" w:eastAsia="宋体"/>
          <w:sz w:val="24"/>
          <w:szCs w:val="24"/>
        </w:rPr>
        <w:t>5、我公司尊重评标委员会所作的评定结果，同时清楚理解到报价最低并非意味着必定获得成交资格。</w:t>
      </w:r>
    </w:p>
    <w:p>
      <w:pPr>
        <w:spacing w:line="360" w:lineRule="auto"/>
        <w:ind w:firstLine="480" w:firstLineChars="200"/>
        <w:rPr>
          <w:rFonts w:ascii="宋体" w:hAnsi="宋体" w:eastAsia="宋体"/>
          <w:sz w:val="24"/>
          <w:szCs w:val="24"/>
        </w:rPr>
      </w:pPr>
      <w:r>
        <w:rPr>
          <w:rFonts w:ascii="宋体" w:hAnsi="宋体" w:eastAsia="宋体"/>
          <w:sz w:val="24"/>
          <w:szCs w:val="24"/>
        </w:rPr>
        <w:t>6、一旦我方成交,我方将根据招标文件的要求和投标文件的承诺签订合同，严格履行合同的责任和义务,并保证在招标文件规定的时间完成项目，交付采购人验收、使用。</w:t>
      </w:r>
    </w:p>
    <w:p>
      <w:pPr>
        <w:spacing w:line="360" w:lineRule="auto"/>
        <w:ind w:firstLine="1680" w:firstLineChars="700"/>
        <w:rPr>
          <w:rFonts w:ascii="宋体" w:hAnsi="宋体" w:eastAsia="宋体"/>
          <w:sz w:val="24"/>
          <w:szCs w:val="24"/>
        </w:rPr>
      </w:pPr>
    </w:p>
    <w:p>
      <w:pPr>
        <w:spacing w:line="360" w:lineRule="auto"/>
        <w:ind w:firstLine="1680" w:firstLineChars="700"/>
        <w:rPr>
          <w:rFonts w:ascii="宋体" w:hAnsi="宋体" w:eastAsia="宋体"/>
          <w:sz w:val="24"/>
          <w:szCs w:val="24"/>
        </w:rPr>
      </w:pPr>
    </w:p>
    <w:p>
      <w:pPr>
        <w:spacing w:line="360" w:lineRule="auto"/>
        <w:ind w:firstLine="1680" w:firstLineChars="700"/>
        <w:rPr>
          <w:rFonts w:ascii="宋体" w:hAnsi="宋体" w:eastAsia="宋体"/>
          <w:sz w:val="24"/>
          <w:szCs w:val="24"/>
        </w:rPr>
      </w:pPr>
      <w:r>
        <w:rPr>
          <w:rFonts w:ascii="宋体" w:hAnsi="宋体" w:eastAsia="宋体"/>
          <w:sz w:val="24"/>
          <w:szCs w:val="24"/>
        </w:rPr>
        <w:t>投标人：（加盖公章）</w:t>
      </w:r>
    </w:p>
    <w:p>
      <w:pPr>
        <w:spacing w:line="360" w:lineRule="auto"/>
        <w:ind w:firstLine="1680" w:firstLineChars="700"/>
        <w:rPr>
          <w:rFonts w:ascii="宋体" w:hAnsi="宋体" w:eastAsia="宋体"/>
          <w:sz w:val="24"/>
          <w:szCs w:val="24"/>
        </w:rPr>
      </w:pPr>
      <w:r>
        <w:rPr>
          <w:rFonts w:ascii="宋体" w:hAnsi="宋体" w:eastAsia="宋体"/>
          <w:sz w:val="24"/>
          <w:szCs w:val="24"/>
        </w:rPr>
        <w:t>法定代表人或被授权人：（签字或盖章）</w:t>
      </w:r>
    </w:p>
    <w:p>
      <w:pPr>
        <w:spacing w:line="360" w:lineRule="auto"/>
        <w:ind w:firstLine="4320" w:firstLineChars="1800"/>
        <w:rPr>
          <w:rFonts w:ascii="宋体" w:hAnsi="宋体" w:eastAsia="宋体"/>
          <w:sz w:val="24"/>
          <w:szCs w:val="24"/>
        </w:rPr>
      </w:pPr>
    </w:p>
    <w:p>
      <w:pPr>
        <w:spacing w:line="360" w:lineRule="auto"/>
        <w:ind w:firstLine="4320" w:firstLineChars="1800"/>
        <w:rPr>
          <w:rFonts w:ascii="宋体" w:hAnsi="宋体" w:eastAsia="宋体"/>
          <w:sz w:val="24"/>
          <w:szCs w:val="24"/>
        </w:rPr>
      </w:pPr>
      <w:r>
        <w:rPr>
          <w:rFonts w:ascii="宋体" w:hAnsi="宋体" w:eastAsia="宋体"/>
          <w:sz w:val="24"/>
          <w:szCs w:val="24"/>
        </w:rPr>
        <w:t>年    月    日</w:t>
      </w:r>
    </w:p>
    <w:p>
      <w:pPr>
        <w:spacing w:line="360" w:lineRule="auto"/>
        <w:jc w:val="center"/>
        <w:rPr>
          <w:rFonts w:ascii="宋体" w:hAnsi="宋体" w:eastAsia="宋体"/>
          <w:b/>
          <w:sz w:val="24"/>
          <w:szCs w:val="24"/>
        </w:rPr>
      </w:pPr>
      <w:r>
        <w:rPr>
          <w:rFonts w:ascii="宋体" w:hAnsi="宋体" w:eastAsia="宋体"/>
          <w:b/>
          <w:bCs/>
          <w:sz w:val="24"/>
          <w:szCs w:val="24"/>
        </w:rPr>
        <w:br w:type="page"/>
      </w:r>
      <w:r>
        <w:rPr>
          <w:rFonts w:hint="eastAsia" w:ascii="宋体" w:hAnsi="宋体" w:eastAsia="宋体"/>
          <w:b/>
          <w:sz w:val="24"/>
          <w:szCs w:val="24"/>
        </w:rPr>
        <w:t>五</w:t>
      </w:r>
      <w:r>
        <w:rPr>
          <w:rFonts w:ascii="宋体" w:hAnsi="宋体" w:eastAsia="宋体"/>
          <w:b/>
          <w:sz w:val="24"/>
          <w:szCs w:val="24"/>
        </w:rPr>
        <w:t>、投标人一般情况表</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企业名称</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总部地址</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分支机构</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当地代表处地址</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电话</w:t>
            </w:r>
          </w:p>
        </w:tc>
        <w:tc>
          <w:tcPr>
            <w:tcW w:w="2408" w:type="dxa"/>
            <w:gridSpan w:val="3"/>
          </w:tcPr>
          <w:p>
            <w:pPr>
              <w:tabs>
                <w:tab w:val="left" w:pos="993"/>
              </w:tabs>
              <w:spacing w:line="360" w:lineRule="auto"/>
              <w:rPr>
                <w:rFonts w:ascii="宋体" w:hAnsi="宋体" w:eastAsia="宋体"/>
                <w:sz w:val="24"/>
                <w:szCs w:val="24"/>
              </w:rPr>
            </w:pPr>
          </w:p>
        </w:tc>
        <w:tc>
          <w:tcPr>
            <w:tcW w:w="1875"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联系人</w:t>
            </w:r>
          </w:p>
        </w:tc>
        <w:tc>
          <w:tcPr>
            <w:tcW w:w="2521" w:type="dxa"/>
            <w:gridSpan w:val="3"/>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传真</w:t>
            </w:r>
          </w:p>
        </w:tc>
        <w:tc>
          <w:tcPr>
            <w:tcW w:w="2408" w:type="dxa"/>
            <w:gridSpan w:val="3"/>
          </w:tcPr>
          <w:p>
            <w:pPr>
              <w:tabs>
                <w:tab w:val="left" w:pos="993"/>
              </w:tabs>
              <w:spacing w:line="360" w:lineRule="auto"/>
              <w:rPr>
                <w:rFonts w:ascii="宋体" w:hAnsi="宋体" w:eastAsia="宋体"/>
                <w:sz w:val="24"/>
                <w:szCs w:val="24"/>
              </w:rPr>
            </w:pPr>
          </w:p>
        </w:tc>
        <w:tc>
          <w:tcPr>
            <w:tcW w:w="1875"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电子邮件</w:t>
            </w:r>
          </w:p>
        </w:tc>
        <w:tc>
          <w:tcPr>
            <w:tcW w:w="2521" w:type="dxa"/>
            <w:gridSpan w:val="3"/>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注册地</w:t>
            </w:r>
          </w:p>
        </w:tc>
        <w:tc>
          <w:tcPr>
            <w:tcW w:w="2408" w:type="dxa"/>
            <w:gridSpan w:val="3"/>
          </w:tcPr>
          <w:p>
            <w:pPr>
              <w:tabs>
                <w:tab w:val="left" w:pos="993"/>
              </w:tabs>
              <w:spacing w:line="360" w:lineRule="auto"/>
              <w:rPr>
                <w:rFonts w:ascii="宋体" w:hAnsi="宋体" w:eastAsia="宋体"/>
                <w:sz w:val="24"/>
                <w:szCs w:val="24"/>
              </w:rPr>
            </w:pPr>
          </w:p>
        </w:tc>
        <w:tc>
          <w:tcPr>
            <w:tcW w:w="1875"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注册年份</w:t>
            </w:r>
          </w:p>
        </w:tc>
        <w:tc>
          <w:tcPr>
            <w:tcW w:w="2521" w:type="dxa"/>
            <w:gridSpan w:val="3"/>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资质等级</w:t>
            </w:r>
          </w:p>
        </w:tc>
        <w:tc>
          <w:tcPr>
            <w:tcW w:w="6804" w:type="dxa"/>
            <w:gridSpan w:val="8"/>
          </w:tcPr>
          <w:p>
            <w:pPr>
              <w:tabs>
                <w:tab w:val="left" w:pos="993"/>
              </w:tabs>
              <w:spacing w:line="360" w:lineRule="auto"/>
              <w:rPr>
                <w:rFonts w:ascii="宋体" w:hAnsi="宋体" w:eastAsia="宋体"/>
                <w:sz w:val="24"/>
                <w:szCs w:val="24"/>
              </w:rPr>
            </w:pPr>
            <w:r>
              <w:rPr>
                <w:rFonts w:ascii="宋体" w:hAnsi="宋体" w:eastAsia="宋体"/>
                <w:sz w:val="24"/>
                <w:szCs w:val="24"/>
              </w:rPr>
              <w:t>公司具备的相关资质等级及相应的证书号</w:t>
            </w:r>
          </w:p>
          <w:p>
            <w:pPr>
              <w:tabs>
                <w:tab w:val="left" w:pos="993"/>
              </w:tabs>
              <w:spacing w:line="360" w:lineRule="auto"/>
              <w:rPr>
                <w:rFonts w:ascii="宋体" w:hAnsi="宋体" w:eastAsia="宋体"/>
                <w:sz w:val="24"/>
                <w:szCs w:val="24"/>
              </w:rPr>
            </w:pPr>
            <w:r>
              <w:rPr>
                <w:rFonts w:ascii="宋体" w:hAnsi="宋体" w:eastAsia="宋体"/>
                <w:sz w:val="24"/>
                <w:szCs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质量管理体系</w:t>
            </w:r>
          </w:p>
        </w:tc>
        <w:tc>
          <w:tcPr>
            <w:tcW w:w="6804" w:type="dxa"/>
            <w:gridSpan w:val="8"/>
          </w:tcPr>
          <w:p>
            <w:pPr>
              <w:tabs>
                <w:tab w:val="left" w:pos="993"/>
              </w:tabs>
              <w:spacing w:line="360" w:lineRule="auto"/>
              <w:rPr>
                <w:rFonts w:ascii="宋体" w:hAnsi="宋体" w:eastAsia="宋体"/>
                <w:sz w:val="24"/>
                <w:szCs w:val="24"/>
              </w:rPr>
            </w:pPr>
            <w:r>
              <w:rPr>
                <w:rFonts w:ascii="宋体" w:hAnsi="宋体" w:eastAsia="宋体"/>
                <w:sz w:val="24"/>
                <w:szCs w:val="24"/>
              </w:rPr>
              <w:t>公司</w:t>
            </w:r>
            <w:r>
              <w:rPr>
                <w:rFonts w:ascii="宋体" w:hAnsi="宋体" w:eastAsia="宋体"/>
                <w:sz w:val="24"/>
                <w:szCs w:val="24"/>
                <w:u w:val="single"/>
              </w:rPr>
              <w:t xml:space="preserve">   （是否通过，何种）   </w:t>
            </w:r>
            <w:r>
              <w:rPr>
                <w:rFonts w:ascii="宋体" w:hAnsi="宋体" w:eastAsia="宋体"/>
                <w:sz w:val="24"/>
                <w:szCs w:val="24"/>
              </w:rPr>
              <w:t>质量保证体系认证（如通过请附相关在有效期内的证书复印件）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项目负责人</w:t>
            </w:r>
          </w:p>
        </w:tc>
        <w:tc>
          <w:tcPr>
            <w:tcW w:w="1559" w:type="dxa"/>
            <w:gridSpan w:val="2"/>
          </w:tcPr>
          <w:p>
            <w:pPr>
              <w:tabs>
                <w:tab w:val="left" w:pos="993"/>
              </w:tabs>
              <w:spacing w:line="360" w:lineRule="auto"/>
              <w:jc w:val="center"/>
              <w:rPr>
                <w:rFonts w:ascii="宋体" w:hAnsi="宋体" w:eastAsia="宋体"/>
                <w:sz w:val="24"/>
                <w:szCs w:val="24"/>
              </w:rPr>
            </w:pPr>
          </w:p>
        </w:tc>
        <w:tc>
          <w:tcPr>
            <w:tcW w:w="1417" w:type="dxa"/>
            <w:gridSpan w:val="2"/>
          </w:tcPr>
          <w:p>
            <w:pPr>
              <w:tabs>
                <w:tab w:val="left" w:pos="993"/>
              </w:tabs>
              <w:spacing w:line="360" w:lineRule="auto"/>
              <w:jc w:val="center"/>
              <w:rPr>
                <w:rFonts w:ascii="宋体" w:hAnsi="宋体" w:eastAsia="宋体"/>
                <w:sz w:val="24"/>
                <w:szCs w:val="24"/>
              </w:rPr>
            </w:pPr>
            <w:r>
              <w:rPr>
                <w:rFonts w:ascii="宋体" w:hAnsi="宋体" w:eastAsia="宋体"/>
                <w:sz w:val="24"/>
                <w:szCs w:val="24"/>
              </w:rPr>
              <w:t>年龄</w:t>
            </w:r>
          </w:p>
        </w:tc>
        <w:tc>
          <w:tcPr>
            <w:tcW w:w="1466" w:type="dxa"/>
            <w:gridSpan w:val="2"/>
          </w:tcPr>
          <w:p>
            <w:pPr>
              <w:tabs>
                <w:tab w:val="left" w:pos="993"/>
              </w:tabs>
              <w:spacing w:line="360" w:lineRule="auto"/>
              <w:jc w:val="center"/>
              <w:rPr>
                <w:rFonts w:ascii="宋体" w:hAnsi="宋体" w:eastAsia="宋体"/>
                <w:sz w:val="24"/>
                <w:szCs w:val="24"/>
              </w:rPr>
            </w:pPr>
          </w:p>
        </w:tc>
        <w:tc>
          <w:tcPr>
            <w:tcW w:w="1320" w:type="dxa"/>
          </w:tcPr>
          <w:p>
            <w:pPr>
              <w:tabs>
                <w:tab w:val="left" w:pos="993"/>
              </w:tabs>
              <w:spacing w:line="360" w:lineRule="auto"/>
              <w:jc w:val="center"/>
              <w:rPr>
                <w:rFonts w:ascii="宋体" w:hAnsi="宋体" w:eastAsia="宋体"/>
                <w:sz w:val="24"/>
                <w:szCs w:val="24"/>
              </w:rPr>
            </w:pPr>
            <w:r>
              <w:rPr>
                <w:rFonts w:ascii="宋体" w:hAnsi="宋体" w:eastAsia="宋体"/>
                <w:sz w:val="24"/>
                <w:szCs w:val="24"/>
              </w:rPr>
              <w:t>性别</w:t>
            </w:r>
          </w:p>
        </w:tc>
        <w:tc>
          <w:tcPr>
            <w:tcW w:w="1042" w:type="dxa"/>
          </w:tcPr>
          <w:p>
            <w:pPr>
              <w:tabs>
                <w:tab w:val="left" w:pos="993"/>
              </w:tabs>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职务职称</w:t>
            </w:r>
          </w:p>
        </w:tc>
        <w:tc>
          <w:tcPr>
            <w:tcW w:w="2976" w:type="dxa"/>
            <w:gridSpan w:val="4"/>
          </w:tcPr>
          <w:p>
            <w:pPr>
              <w:tabs>
                <w:tab w:val="left" w:pos="993"/>
              </w:tabs>
              <w:spacing w:line="360" w:lineRule="auto"/>
              <w:rPr>
                <w:rFonts w:ascii="宋体" w:hAnsi="宋体" w:eastAsia="宋体"/>
                <w:sz w:val="24"/>
                <w:szCs w:val="24"/>
              </w:rPr>
            </w:pPr>
          </w:p>
        </w:tc>
        <w:tc>
          <w:tcPr>
            <w:tcW w:w="1466"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执业资格</w:t>
            </w:r>
          </w:p>
        </w:tc>
        <w:tc>
          <w:tcPr>
            <w:tcW w:w="2362" w:type="dxa"/>
            <w:gridSpan w:val="2"/>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经营范围</w:t>
            </w:r>
          </w:p>
        </w:tc>
        <w:tc>
          <w:tcPr>
            <w:tcW w:w="6804" w:type="dxa"/>
            <w:gridSpan w:val="8"/>
          </w:tcPr>
          <w:p>
            <w:pPr>
              <w:tabs>
                <w:tab w:val="left" w:pos="993"/>
              </w:tabs>
              <w:spacing w:line="360" w:lineRule="auto"/>
              <w:rPr>
                <w:rFonts w:ascii="宋体" w:hAnsi="宋体" w:eastAsia="宋体"/>
                <w:sz w:val="24"/>
                <w:szCs w:val="24"/>
              </w:rPr>
            </w:pPr>
            <w:r>
              <w:rPr>
                <w:rFonts w:ascii="宋体" w:hAnsi="宋体" w:eastAsia="宋体"/>
                <w:sz w:val="24"/>
                <w:szCs w:val="24"/>
              </w:rPr>
              <w:t>营业执照载明：</w:t>
            </w:r>
          </w:p>
          <w:p>
            <w:pPr>
              <w:tabs>
                <w:tab w:val="left" w:pos="993"/>
              </w:tabs>
              <w:spacing w:line="360" w:lineRule="auto"/>
              <w:rPr>
                <w:rFonts w:ascii="宋体" w:hAnsi="宋体" w:eastAsia="宋体"/>
                <w:sz w:val="24"/>
                <w:szCs w:val="24"/>
                <w:u w:val="single"/>
              </w:rPr>
            </w:pPr>
            <w:r>
              <w:rPr>
                <w:rFonts w:ascii="宋体" w:hAnsi="宋体" w:eastAsia="宋体"/>
                <w:sz w:val="24"/>
                <w:szCs w:val="24"/>
              </w:rPr>
              <w:t>1.</w:t>
            </w:r>
          </w:p>
          <w:p>
            <w:pPr>
              <w:tabs>
                <w:tab w:val="left" w:pos="993"/>
              </w:tabs>
              <w:spacing w:line="360" w:lineRule="auto"/>
              <w:rPr>
                <w:rFonts w:ascii="宋体" w:hAnsi="宋体" w:eastAsia="宋体"/>
                <w:sz w:val="24"/>
                <w:szCs w:val="24"/>
                <w:u w:val="single"/>
              </w:rPr>
            </w:pPr>
            <w:r>
              <w:rPr>
                <w:rFonts w:ascii="宋体" w:hAnsi="宋体" w:eastAsia="宋体"/>
                <w:sz w:val="24"/>
                <w:szCs w:val="24"/>
              </w:rPr>
              <w:t>2.</w:t>
            </w:r>
          </w:p>
          <w:p>
            <w:pPr>
              <w:tabs>
                <w:tab w:val="left" w:pos="993"/>
              </w:tabs>
              <w:spacing w:line="360" w:lineRule="auto"/>
              <w:rPr>
                <w:rFonts w:ascii="宋体" w:hAnsi="宋体" w:eastAsia="宋体"/>
                <w:sz w:val="24"/>
                <w:szCs w:val="24"/>
                <w:u w:val="single"/>
              </w:rPr>
            </w:pPr>
            <w:r>
              <w:rPr>
                <w:rFonts w:ascii="宋体" w:hAnsi="宋体" w:eastAsia="宋体"/>
                <w:sz w:val="24"/>
                <w:szCs w:val="24"/>
              </w:rPr>
              <w:t>3.</w:t>
            </w:r>
          </w:p>
          <w:p>
            <w:pPr>
              <w:tabs>
                <w:tab w:val="left" w:pos="993"/>
              </w:tabs>
              <w:spacing w:line="360" w:lineRule="auto"/>
              <w:rPr>
                <w:rFonts w:ascii="宋体" w:hAnsi="宋体" w:eastAsia="宋体"/>
                <w:sz w:val="24"/>
                <w:szCs w:val="24"/>
              </w:rPr>
            </w:pPr>
            <w:r>
              <w:rPr>
                <w:rFonts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pPr>
              <w:tabs>
                <w:tab w:val="left" w:pos="993"/>
              </w:tabs>
              <w:spacing w:line="360" w:lineRule="auto"/>
              <w:rPr>
                <w:rFonts w:ascii="宋体" w:hAnsi="宋体" w:eastAsia="宋体"/>
                <w:sz w:val="24"/>
                <w:szCs w:val="24"/>
              </w:rPr>
            </w:pPr>
            <w:r>
              <w:rPr>
                <w:rFonts w:ascii="宋体" w:hAnsi="宋体" w:eastAsia="宋体"/>
                <w:sz w:val="24"/>
                <w:szCs w:val="24"/>
              </w:rPr>
              <w:t>从事类似相关项目的经历及年数</w:t>
            </w:r>
          </w:p>
        </w:tc>
        <w:tc>
          <w:tcPr>
            <w:tcW w:w="6096" w:type="dxa"/>
            <w:gridSpan w:val="7"/>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pPr>
              <w:tabs>
                <w:tab w:val="left" w:pos="993"/>
              </w:tabs>
              <w:spacing w:line="360" w:lineRule="auto"/>
              <w:rPr>
                <w:rFonts w:ascii="宋体" w:hAnsi="宋体" w:eastAsia="宋体"/>
                <w:sz w:val="24"/>
                <w:szCs w:val="24"/>
              </w:rPr>
            </w:pPr>
            <w:r>
              <w:rPr>
                <w:rFonts w:ascii="宋体" w:hAnsi="宋体" w:eastAsia="宋体"/>
                <w:sz w:val="24"/>
                <w:szCs w:val="24"/>
              </w:rPr>
              <w:t>其他认为有必要提供的内容，可自行添加</w:t>
            </w:r>
          </w:p>
        </w:tc>
        <w:tc>
          <w:tcPr>
            <w:tcW w:w="6096" w:type="dxa"/>
            <w:gridSpan w:val="7"/>
          </w:tcPr>
          <w:p>
            <w:pPr>
              <w:tabs>
                <w:tab w:val="left" w:pos="993"/>
              </w:tabs>
              <w:spacing w:line="360" w:lineRule="auto"/>
              <w:rPr>
                <w:rFonts w:ascii="宋体" w:hAnsi="宋体" w:eastAsia="宋体"/>
                <w:sz w:val="24"/>
                <w:szCs w:val="24"/>
              </w:rPr>
            </w:pPr>
          </w:p>
        </w:tc>
      </w:tr>
    </w:tbl>
    <w:p>
      <w:pPr>
        <w:snapToGrid w:val="0"/>
        <w:spacing w:line="360" w:lineRule="auto"/>
        <w:rPr>
          <w:rFonts w:ascii="宋体" w:hAnsi="宋体" w:eastAsia="宋体"/>
          <w:bCs/>
          <w:sz w:val="24"/>
          <w:szCs w:val="24"/>
        </w:rPr>
      </w:pPr>
      <w:r>
        <w:rPr>
          <w:rFonts w:ascii="宋体" w:hAnsi="宋体" w:eastAsia="宋体"/>
          <w:sz w:val="24"/>
          <w:szCs w:val="24"/>
        </w:rPr>
        <w:t>投标人</w:t>
      </w:r>
      <w:r>
        <w:rPr>
          <w:rFonts w:ascii="宋体" w:hAnsi="宋体" w:eastAsia="宋体"/>
          <w:bCs/>
          <w:sz w:val="24"/>
          <w:szCs w:val="24"/>
        </w:rPr>
        <w:t xml:space="preserve">：（盖章）             </w:t>
      </w:r>
    </w:p>
    <w:p>
      <w:pPr>
        <w:snapToGrid w:val="0"/>
        <w:spacing w:line="360" w:lineRule="auto"/>
        <w:rPr>
          <w:rFonts w:ascii="宋体" w:hAnsi="宋体" w:eastAsia="宋体"/>
          <w:bCs/>
          <w:sz w:val="24"/>
          <w:szCs w:val="24"/>
        </w:rPr>
      </w:pPr>
      <w:r>
        <w:rPr>
          <w:rFonts w:ascii="宋体" w:hAnsi="宋体" w:eastAsia="宋体"/>
          <w:bCs/>
          <w:sz w:val="24"/>
          <w:szCs w:val="24"/>
        </w:rPr>
        <w:t>法定代表人或被授权人（签字或盖章）：</w:t>
      </w:r>
    </w:p>
    <w:p>
      <w:pPr>
        <w:snapToGrid w:val="0"/>
        <w:spacing w:line="360" w:lineRule="auto"/>
        <w:rPr>
          <w:rFonts w:ascii="宋体" w:hAnsi="宋体" w:eastAsia="宋体"/>
          <w:bCs/>
          <w:sz w:val="24"/>
          <w:szCs w:val="24"/>
        </w:rPr>
      </w:pPr>
      <w:r>
        <w:rPr>
          <w:rFonts w:ascii="宋体" w:hAnsi="宋体" w:eastAsia="宋体"/>
          <w:bCs/>
          <w:sz w:val="24"/>
          <w:szCs w:val="24"/>
        </w:rPr>
        <w:t>日期</w:t>
      </w:r>
      <w:r>
        <w:rPr>
          <w:rFonts w:hint="eastAsia" w:ascii="宋体" w:hAnsi="宋体" w:eastAsia="宋体"/>
          <w:bCs/>
          <w:sz w:val="24"/>
          <w:szCs w:val="24"/>
        </w:rPr>
        <w:t>：</w:t>
      </w:r>
    </w:p>
    <w:p>
      <w:pPr>
        <w:pStyle w:val="128"/>
        <w:tabs>
          <w:tab w:val="left" w:pos="5387"/>
        </w:tabs>
        <w:spacing w:line="360" w:lineRule="auto"/>
        <w:rPr>
          <w:rFonts w:hAnsi="宋体" w:cs="Times New Roman"/>
          <w:bCs/>
          <w:sz w:val="24"/>
          <w:szCs w:val="24"/>
          <w:lang w:val="en-US"/>
        </w:rPr>
      </w:pPr>
    </w:p>
    <w:p>
      <w:pPr>
        <w:snapToGrid w:val="0"/>
        <w:spacing w:line="520" w:lineRule="exact"/>
        <w:jc w:val="center"/>
        <w:outlineLvl w:val="2"/>
        <w:rPr>
          <w:rFonts w:ascii="宋体" w:hAnsi="宋体" w:eastAsia="宋体" w:cs="宋体"/>
          <w:b/>
          <w:sz w:val="28"/>
          <w:szCs w:val="28"/>
        </w:rPr>
        <w:sectPr>
          <w:pgSz w:w="11906" w:h="16838"/>
          <w:pgMar w:top="1440" w:right="1646" w:bottom="1440" w:left="1800" w:header="851" w:footer="1588" w:gutter="0"/>
          <w:cols w:space="720" w:num="1"/>
          <w:titlePg/>
          <w:docGrid w:linePitch="312" w:charSpace="0"/>
        </w:sectPr>
      </w:pPr>
    </w:p>
    <w:p>
      <w:pPr>
        <w:pStyle w:val="128"/>
        <w:spacing w:line="360" w:lineRule="auto"/>
        <w:ind w:firstLine="0"/>
        <w:rPr>
          <w:rFonts w:hAnsi="宋体" w:cs="Arial"/>
          <w:sz w:val="30"/>
          <w:szCs w:val="30"/>
        </w:rPr>
      </w:pPr>
      <w:r>
        <w:rPr>
          <w:rFonts w:hint="eastAsia" w:hAnsi="宋体" w:cs="Times New Roman"/>
          <w:bCs/>
          <w:sz w:val="30"/>
          <w:szCs w:val="30"/>
          <w:lang w:val="en-US"/>
        </w:rPr>
        <w:t>六、</w:t>
      </w:r>
      <w:bookmarkEnd w:id="9"/>
      <w:r>
        <w:rPr>
          <w:rFonts w:hint="eastAsia" w:hAnsi="宋体" w:cs="Times New Roman"/>
          <w:bCs/>
          <w:sz w:val="30"/>
          <w:szCs w:val="30"/>
          <w:lang w:val="en-US"/>
        </w:rPr>
        <w:t>开标一览表</w:t>
      </w:r>
    </w:p>
    <w:p>
      <w:pPr>
        <w:spacing w:line="360" w:lineRule="auto"/>
        <w:rPr>
          <w:rFonts w:ascii="宋体" w:hAnsi="宋体" w:eastAsia="宋体"/>
          <w:sz w:val="24"/>
          <w:szCs w:val="24"/>
        </w:rPr>
      </w:pPr>
      <w:r>
        <w:rPr>
          <w:rFonts w:hint="eastAsia" w:ascii="宋体" w:hAnsi="宋体" w:eastAsia="宋体"/>
          <w:sz w:val="24"/>
          <w:szCs w:val="24"/>
        </w:rPr>
        <w:t xml:space="preserve">                         </w:t>
      </w:r>
    </w:p>
    <w:tbl>
      <w:tblPr>
        <w:tblStyle w:val="5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eastAsia="宋体"/>
                <w:sz w:val="24"/>
                <w:szCs w:val="24"/>
              </w:rPr>
            </w:pPr>
            <w:r>
              <w:rPr>
                <w:rFonts w:hint="eastAsia" w:ascii="宋体" w:hAnsi="宋体" w:eastAsia="宋体"/>
                <w:sz w:val="24"/>
                <w:szCs w:val="24"/>
              </w:rPr>
              <w:t>项目名称</w:t>
            </w:r>
          </w:p>
        </w:tc>
        <w:tc>
          <w:tcPr>
            <w:tcW w:w="716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eastAsia="宋体"/>
                <w:sz w:val="24"/>
                <w:szCs w:val="24"/>
                <w:u w:val="single"/>
              </w:rPr>
            </w:pPr>
            <w:r>
              <w:rPr>
                <w:rFonts w:hint="eastAsia" w:asciiTheme="majorEastAsia" w:hAnsiTheme="majorEastAsia" w:eastAsiaTheme="majorEastAsia"/>
                <w:sz w:val="24"/>
                <w:szCs w:val="24"/>
              </w:rPr>
              <w:t>南通农副产品物流中心电梯日常维护保养服务项目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投标总报价</w:t>
            </w:r>
          </w:p>
          <w:p>
            <w:pPr>
              <w:pStyle w:val="2"/>
              <w:ind w:left="0" w:firstLine="0" w:firstLineChars="0"/>
              <w:jc w:val="center"/>
              <w:rPr>
                <w:sz w:val="24"/>
                <w:szCs w:val="24"/>
              </w:rPr>
            </w:pPr>
            <w:r>
              <w:rPr>
                <w:rFonts w:hint="eastAsia"/>
                <w:sz w:val="24"/>
                <w:szCs w:val="24"/>
              </w:rPr>
              <w:t>（一年）</w:t>
            </w:r>
          </w:p>
        </w:tc>
        <w:tc>
          <w:tcPr>
            <w:tcW w:w="716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1133" w:hanging="1132" w:hangingChars="472"/>
              <w:rPr>
                <w:rFonts w:eastAsia="宋体" w:cs="宋体"/>
                <w:sz w:val="24"/>
                <w:szCs w:val="24"/>
              </w:rPr>
            </w:pPr>
            <w:r>
              <w:rPr>
                <w:rFonts w:hint="eastAsia" w:eastAsia="宋体" w:cs="宋体"/>
                <w:sz w:val="24"/>
                <w:szCs w:val="24"/>
              </w:rPr>
              <w:t>人民币大写：</w:t>
            </w:r>
          </w:p>
          <w:p>
            <w:pPr>
              <w:spacing w:line="360" w:lineRule="auto"/>
              <w:rPr>
                <w:rFonts w:ascii="宋体" w:hAnsi="宋体" w:eastAsia="宋体"/>
                <w:sz w:val="24"/>
                <w:szCs w:val="24"/>
              </w:rPr>
            </w:pPr>
            <w:r>
              <w:rPr>
                <w:rFonts w:hint="eastAsia" w:eastAsia="宋体" w:cs="宋体"/>
                <w:sz w:val="24"/>
                <w:szCs w:val="24"/>
              </w:rPr>
              <w:t>人民币小写</w:t>
            </w:r>
            <w:r>
              <w:rPr>
                <w:rFonts w:eastAsia="仿宋_GB2312"/>
                <w:sz w:val="24"/>
                <w:szCs w:val="24"/>
              </w:rPr>
              <w:t>¥</w:t>
            </w:r>
            <w:r>
              <w:rPr>
                <w:rFonts w:hint="eastAsia"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其中单台电梯维保报价</w:t>
            </w:r>
          </w:p>
        </w:tc>
        <w:tc>
          <w:tcPr>
            <w:tcW w:w="716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1133" w:hanging="1132" w:hangingChars="472"/>
              <w:rPr>
                <w:rFonts w:ascii="宋体" w:hAnsi="宋体" w:eastAsia="宋体"/>
                <w:sz w:val="24"/>
                <w:szCs w:val="24"/>
              </w:rPr>
            </w:pPr>
            <w:r>
              <w:rPr>
                <w:rFonts w:hint="eastAsia" w:ascii="宋体" w:hAnsi="宋体" w:eastAsia="宋体"/>
                <w:sz w:val="24"/>
                <w:szCs w:val="24"/>
              </w:rPr>
              <w:t>单台电梯维保报价：大写</w:t>
            </w:r>
            <w:r>
              <w:rPr>
                <w:rFonts w:hint="eastAsia" w:ascii="宋体" w:hAnsi="宋体" w:eastAsia="宋体"/>
                <w:sz w:val="24"/>
                <w:szCs w:val="24"/>
                <w:u w:val="single"/>
              </w:rPr>
              <w:t xml:space="preserve">    元/台（小写：     元/台）。</w:t>
            </w:r>
          </w:p>
        </w:tc>
      </w:tr>
    </w:tbl>
    <w:p>
      <w:pPr>
        <w:snapToGrid w:val="0"/>
        <w:spacing w:line="360" w:lineRule="auto"/>
        <w:rPr>
          <w:rFonts w:ascii="宋体" w:hAnsi="宋体" w:eastAsia="宋体"/>
          <w:sz w:val="24"/>
          <w:szCs w:val="24"/>
        </w:rPr>
      </w:pPr>
    </w:p>
    <w:p>
      <w:pPr>
        <w:snapToGrid w:val="0"/>
        <w:spacing w:line="360" w:lineRule="auto"/>
        <w:rPr>
          <w:rFonts w:ascii="宋体" w:hAnsi="宋体" w:eastAsia="宋体"/>
          <w:bCs/>
          <w:sz w:val="24"/>
          <w:szCs w:val="24"/>
        </w:rPr>
      </w:pPr>
      <w:r>
        <w:rPr>
          <w:rFonts w:ascii="宋体" w:hAnsi="宋体" w:eastAsia="宋体"/>
          <w:sz w:val="24"/>
          <w:szCs w:val="24"/>
        </w:rPr>
        <w:t>投标人</w:t>
      </w:r>
      <w:r>
        <w:rPr>
          <w:rFonts w:ascii="宋体" w:hAnsi="宋体" w:eastAsia="宋体"/>
          <w:bCs/>
          <w:sz w:val="24"/>
          <w:szCs w:val="24"/>
        </w:rPr>
        <w:t xml:space="preserve">：（盖章）             </w:t>
      </w:r>
    </w:p>
    <w:p>
      <w:pPr>
        <w:snapToGrid w:val="0"/>
        <w:spacing w:line="360" w:lineRule="auto"/>
        <w:rPr>
          <w:rFonts w:ascii="宋体" w:hAnsi="宋体" w:eastAsia="宋体"/>
          <w:bCs/>
          <w:sz w:val="24"/>
          <w:szCs w:val="24"/>
        </w:rPr>
      </w:pPr>
      <w:r>
        <w:rPr>
          <w:rFonts w:ascii="宋体" w:hAnsi="宋体" w:eastAsia="宋体"/>
          <w:bCs/>
          <w:sz w:val="24"/>
          <w:szCs w:val="24"/>
        </w:rPr>
        <w:t>法定代表人或被授权人（签字或盖章）：</w:t>
      </w:r>
    </w:p>
    <w:p>
      <w:pPr>
        <w:snapToGrid w:val="0"/>
        <w:spacing w:line="360" w:lineRule="auto"/>
        <w:rPr>
          <w:rFonts w:ascii="宋体" w:hAnsi="宋体" w:eastAsia="宋体"/>
          <w:bCs/>
          <w:sz w:val="24"/>
          <w:szCs w:val="24"/>
        </w:rPr>
      </w:pPr>
      <w:r>
        <w:rPr>
          <w:rFonts w:ascii="宋体" w:hAnsi="宋体" w:eastAsia="宋体"/>
          <w:bCs/>
          <w:sz w:val="24"/>
          <w:szCs w:val="24"/>
        </w:rPr>
        <w:t>日期</w:t>
      </w:r>
      <w:r>
        <w:rPr>
          <w:rFonts w:hint="eastAsia" w:ascii="宋体" w:hAnsi="宋体" w:eastAsia="宋体"/>
          <w:bCs/>
          <w:sz w:val="24"/>
          <w:szCs w:val="24"/>
        </w:rPr>
        <w:t>：年 月 日</w:t>
      </w:r>
    </w:p>
    <w:p>
      <w:pPr>
        <w:spacing w:line="360" w:lineRule="auto"/>
        <w:rPr>
          <w:rFonts w:ascii="宋体" w:hAnsi="宋体" w:eastAsia="宋体"/>
          <w:sz w:val="24"/>
          <w:szCs w:val="24"/>
        </w:rPr>
      </w:pPr>
    </w:p>
    <w:p>
      <w:pPr>
        <w:pStyle w:val="11"/>
        <w:kinsoku w:val="0"/>
        <w:topLinePunct/>
        <w:autoSpaceDE w:val="0"/>
        <w:autoSpaceDN w:val="0"/>
        <w:snapToGrid w:val="0"/>
        <w:spacing w:line="360" w:lineRule="auto"/>
        <w:ind w:firstLine="0"/>
        <w:rPr>
          <w:rFonts w:ascii="宋体" w:hAnsi="宋体" w:eastAsia="宋体"/>
          <w:b/>
          <w:szCs w:val="24"/>
        </w:rPr>
      </w:pPr>
    </w:p>
    <w:p>
      <w:pPr>
        <w:spacing w:afterLines="50" w:line="360" w:lineRule="auto"/>
        <w:ind w:left="840" w:hanging="840" w:hangingChars="350"/>
        <w:rPr>
          <w:rFonts w:ascii="宋体" w:hAnsi="宋体" w:eastAsia="宋体" w:cs="宋体"/>
          <w:sz w:val="24"/>
          <w:szCs w:val="24"/>
        </w:rPr>
      </w:pPr>
      <w:r>
        <w:rPr>
          <w:rFonts w:hint="eastAsia" w:ascii="宋体" w:hAnsi="宋体" w:eastAsia="宋体" w:cs="宋体"/>
          <w:sz w:val="24"/>
          <w:szCs w:val="24"/>
        </w:rPr>
        <w:t>注：1、投标人必须按表中规定格式完整、清晰、正确填写，否则，视为无效投标。</w:t>
      </w:r>
    </w:p>
    <w:p>
      <w:pPr>
        <w:spacing w:afterLines="50" w:line="360" w:lineRule="auto"/>
        <w:ind w:firstLine="360" w:firstLineChars="150"/>
        <w:jc w:val="left"/>
        <w:rPr>
          <w:rFonts w:ascii="宋体" w:hAnsi="宋体" w:eastAsia="宋体" w:cs="宋体"/>
          <w:sz w:val="24"/>
          <w:szCs w:val="24"/>
        </w:rPr>
      </w:pPr>
      <w:r>
        <w:rPr>
          <w:rFonts w:hint="eastAsia" w:ascii="宋体" w:hAnsi="宋体" w:eastAsia="宋体" w:cs="宋体"/>
          <w:sz w:val="24"/>
          <w:szCs w:val="24"/>
        </w:rPr>
        <w:t>2、开标一览表中不得填报有选择性报价方案，采购人仅接受一个价格。该表中的报价应与投标文件明细表中的报价完全一致,否则将以开标一览表价格为准。</w:t>
      </w:r>
    </w:p>
    <w:p>
      <w:pPr>
        <w:pStyle w:val="128"/>
        <w:spacing w:line="360" w:lineRule="auto"/>
        <w:ind w:firstLine="0"/>
        <w:jc w:val="both"/>
        <w:rPr>
          <w:rFonts w:hAnsi="宋体"/>
          <w:b w:val="0"/>
          <w:bCs/>
          <w:sz w:val="24"/>
          <w:szCs w:val="24"/>
          <w:lang w:val="en-US"/>
        </w:rPr>
      </w:pPr>
    </w:p>
    <w:p>
      <w:pPr>
        <w:pStyle w:val="128"/>
        <w:spacing w:line="360" w:lineRule="auto"/>
        <w:ind w:firstLine="0"/>
        <w:jc w:val="both"/>
        <w:rPr>
          <w:rFonts w:hAnsi="宋体"/>
          <w:b w:val="0"/>
          <w:bCs/>
          <w:sz w:val="24"/>
          <w:szCs w:val="24"/>
          <w:lang w:val="en-US"/>
        </w:rPr>
      </w:pPr>
    </w:p>
    <w:p>
      <w:pPr>
        <w:pStyle w:val="128"/>
        <w:spacing w:line="360" w:lineRule="auto"/>
        <w:ind w:firstLine="0"/>
        <w:jc w:val="both"/>
        <w:rPr>
          <w:rFonts w:hAnsi="宋体"/>
          <w:b w:val="0"/>
          <w:bCs/>
          <w:sz w:val="24"/>
          <w:szCs w:val="24"/>
          <w:lang w:val="en-US"/>
        </w:rPr>
      </w:pPr>
    </w:p>
    <w:p>
      <w:pPr>
        <w:pStyle w:val="128"/>
        <w:spacing w:line="360" w:lineRule="auto"/>
        <w:ind w:firstLine="0"/>
        <w:jc w:val="both"/>
        <w:rPr>
          <w:rFonts w:hAnsi="宋体"/>
          <w:b w:val="0"/>
          <w:bCs/>
          <w:sz w:val="24"/>
          <w:szCs w:val="24"/>
          <w:lang w:val="en-US"/>
        </w:rPr>
      </w:pPr>
    </w:p>
    <w:p>
      <w:pPr>
        <w:pStyle w:val="128"/>
        <w:spacing w:line="360" w:lineRule="auto"/>
        <w:ind w:firstLine="0"/>
        <w:jc w:val="both"/>
        <w:rPr>
          <w:rFonts w:hAnsi="宋体"/>
          <w:b w:val="0"/>
          <w:bCs/>
          <w:sz w:val="24"/>
          <w:szCs w:val="24"/>
          <w:lang w:val="en-US"/>
        </w:rPr>
      </w:pPr>
    </w:p>
    <w:p>
      <w:pPr>
        <w:pStyle w:val="128"/>
        <w:spacing w:line="360" w:lineRule="auto"/>
        <w:ind w:firstLine="0"/>
        <w:jc w:val="both"/>
        <w:rPr>
          <w:rFonts w:hAnsi="宋体"/>
          <w:b w:val="0"/>
          <w:bCs/>
          <w:sz w:val="24"/>
          <w:szCs w:val="24"/>
          <w:lang w:val="en-US"/>
        </w:rPr>
      </w:pPr>
    </w:p>
    <w:p>
      <w:pPr>
        <w:pStyle w:val="128"/>
        <w:spacing w:line="360" w:lineRule="auto"/>
        <w:ind w:firstLine="0"/>
        <w:jc w:val="both"/>
        <w:rPr>
          <w:rFonts w:hAnsi="宋体"/>
          <w:b w:val="0"/>
          <w:bCs/>
          <w:sz w:val="24"/>
          <w:szCs w:val="24"/>
          <w:lang w:val="en-US"/>
        </w:rPr>
      </w:pPr>
      <w:r>
        <w:rPr>
          <w:rFonts w:hint="eastAsia" w:hAnsi="宋体"/>
          <w:b w:val="0"/>
          <w:bCs/>
          <w:sz w:val="24"/>
          <w:szCs w:val="24"/>
          <w:lang w:val="en-US"/>
        </w:rPr>
        <w:t>附件：</w:t>
      </w:r>
    </w:p>
    <w:p>
      <w:pPr>
        <w:pStyle w:val="128"/>
        <w:snapToGrid/>
        <w:spacing w:before="0" w:beforeAutospacing="0" w:after="0" w:afterAutospacing="0" w:line="360" w:lineRule="auto"/>
        <w:ind w:firstLine="0"/>
        <w:rPr>
          <w:rFonts w:hAnsi="宋体"/>
          <w:b w:val="0"/>
          <w:bCs/>
          <w:sz w:val="30"/>
          <w:szCs w:val="30"/>
          <w:lang w:val="en-US"/>
        </w:rPr>
      </w:pPr>
      <w:r>
        <w:rPr>
          <w:rFonts w:hint="eastAsia" w:hAnsi="宋体"/>
          <w:bCs/>
          <w:color w:val="000000"/>
          <w:kern w:val="0"/>
          <w:sz w:val="30"/>
          <w:szCs w:val="30"/>
        </w:rPr>
        <w:t>电梯配件及价格清单</w:t>
      </w:r>
    </w:p>
    <w:tbl>
      <w:tblPr>
        <w:tblStyle w:val="55"/>
        <w:tblW w:w="11122" w:type="dxa"/>
        <w:tblInd w:w="94" w:type="dxa"/>
        <w:tblLayout w:type="fixed"/>
        <w:tblCellMar>
          <w:top w:w="0" w:type="dxa"/>
          <w:left w:w="108" w:type="dxa"/>
          <w:bottom w:w="0" w:type="dxa"/>
          <w:right w:w="108" w:type="dxa"/>
        </w:tblCellMar>
      </w:tblPr>
      <w:tblGrid>
        <w:gridCol w:w="580"/>
        <w:gridCol w:w="2978"/>
        <w:gridCol w:w="1058"/>
        <w:gridCol w:w="1059"/>
        <w:gridCol w:w="1059"/>
        <w:gridCol w:w="1059"/>
        <w:gridCol w:w="1059"/>
        <w:gridCol w:w="1059"/>
        <w:gridCol w:w="1211"/>
      </w:tblGrid>
      <w:tr>
        <w:tblPrEx>
          <w:tblCellMar>
            <w:top w:w="0" w:type="dxa"/>
            <w:left w:w="108" w:type="dxa"/>
            <w:bottom w:w="0" w:type="dxa"/>
            <w:right w:w="108" w:type="dxa"/>
          </w:tblCellMar>
        </w:tblPrEx>
        <w:trPr>
          <w:gridAfter w:val="1"/>
          <w:wAfter w:w="1211" w:type="dxa"/>
          <w:trHeight w:val="555" w:hRule="atLeast"/>
          <w:tblHeader/>
        </w:trPr>
        <w:tc>
          <w:tcPr>
            <w:tcW w:w="5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29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内容</w:t>
            </w:r>
          </w:p>
        </w:tc>
        <w:tc>
          <w:tcPr>
            <w:tcW w:w="31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型号（三菱5吨）</w:t>
            </w:r>
          </w:p>
        </w:tc>
        <w:tc>
          <w:tcPr>
            <w:tcW w:w="317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型号（迅达5吨）</w:t>
            </w:r>
          </w:p>
        </w:tc>
      </w:tr>
      <w:tr>
        <w:tblPrEx>
          <w:tblCellMar>
            <w:top w:w="0" w:type="dxa"/>
            <w:left w:w="108" w:type="dxa"/>
            <w:bottom w:w="0" w:type="dxa"/>
            <w:right w:w="108" w:type="dxa"/>
          </w:tblCellMar>
        </w:tblPrEx>
        <w:trPr>
          <w:gridAfter w:val="1"/>
          <w:wAfter w:w="1211" w:type="dxa"/>
          <w:trHeight w:val="555" w:hRule="atLeast"/>
          <w:tblHeader/>
        </w:trPr>
        <w:tc>
          <w:tcPr>
            <w:tcW w:w="5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97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价格（元）</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价格（元）</w:t>
            </w:r>
          </w:p>
        </w:tc>
      </w:tr>
      <w:tr>
        <w:tblPrEx>
          <w:tblCellMar>
            <w:top w:w="0" w:type="dxa"/>
            <w:left w:w="108" w:type="dxa"/>
            <w:bottom w:w="0" w:type="dxa"/>
            <w:right w:w="108" w:type="dxa"/>
          </w:tblCellMar>
        </w:tblPrEx>
        <w:trPr>
          <w:gridAfter w:val="1"/>
          <w:wAfter w:w="1211" w:type="dxa"/>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门到位感应器</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驱动电源模块</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光幕</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应急电源电池</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三角锁（C2）</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触头P0-Bet.391.146.2156</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61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触体AIZP</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按钮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滚轮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皮带轮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缓冲圈</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缓冲橡皮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门电动机炭刷</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蜂鸣器</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急停开关</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门球</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接触器</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门滑块</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滑轮组件（小带轮组件）</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门刀</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门导轮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重锤钢丝绳</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同步钢丝绳</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偏心轮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风扇电容</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门锁弹簧连座</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原装门头</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原装地坎</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厅门门锁</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轿门门锁</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门刀弹簧</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挂板轮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门机皮带</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层门门锁</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外呼板</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厅门门板（整形）</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厅门门板（更换）</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轿门门板（整形）</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轿门门板（更换）</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门板挂板</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门板挂轮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防扒门装置</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防扒门支架</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门厅自闭弹簧</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变压器</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联动门同步带</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变速箱清理、加油</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电梯主板</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门机变频器</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电梯通讯板</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厅门锁</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锁钩组件</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厅门门锁触点、触体</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应急电源电池</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67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R-继电器模块 230VAC….288-508</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接触器 </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轿厢导靴 4402（3T）</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XD厅门161B门锁左（PB152B）</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操纵厢LOM1.Q接口版</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相序继电器</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IGBV200用齿形带</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印板BCM 2.Q</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63</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管状电阻（WBR)</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642"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主开关辅助触点 OA2L11 16A</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702"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65</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V30中分门的重锤组件 用于BT=1000-1100</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762"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66</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双稳态磁开关 型号：KCB-1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限双速梯</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M型呼梯按钮（螺丝固定）</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68</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专业级塑柄受用黄油枪（400cc）-世达 97203</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69</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限速器</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70</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缓冲器</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曳引轮</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After w:val="1"/>
          <w:wAfter w:w="1211" w:type="dxa"/>
          <w:trHeight w:val="49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72</w:t>
            </w:r>
          </w:p>
        </w:tc>
        <w:tc>
          <w:tcPr>
            <w:tcW w:w="29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加油装置</w:t>
            </w:r>
          </w:p>
        </w:tc>
        <w:tc>
          <w:tcPr>
            <w:tcW w:w="10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99" w:hRule="atLeast"/>
        </w:trPr>
        <w:tc>
          <w:tcPr>
            <w:tcW w:w="11122" w:type="dxa"/>
            <w:gridSpan w:val="9"/>
            <w:vMerge w:val="restart"/>
            <w:tcBorders>
              <w:top w:val="nil"/>
              <w:left w:val="nil"/>
              <w:bottom w:val="nil"/>
              <w:right w:val="nil"/>
            </w:tcBorders>
            <w:shd w:val="clear" w:color="auto" w:fill="auto"/>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说明：</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br w:type="textWrapping"/>
            </w:r>
            <w:r>
              <w:rPr>
                <w:rFonts w:hint="eastAsia" w:ascii="宋体" w:hAnsi="宋体" w:eastAsia="宋体" w:cs="宋体"/>
                <w:color w:val="000000"/>
                <w:kern w:val="0"/>
                <w:sz w:val="24"/>
                <w:szCs w:val="24"/>
              </w:rPr>
              <w:t>1、价格栏填写单个报价。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2、投标人可对本表格内容进行补充，根据补充项的多少进行评分。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3、所提供配件必须是电梯原产品牌配件。</w:t>
            </w:r>
          </w:p>
        </w:tc>
      </w:tr>
      <w:tr>
        <w:tblPrEx>
          <w:tblCellMar>
            <w:top w:w="0" w:type="dxa"/>
            <w:left w:w="108" w:type="dxa"/>
            <w:bottom w:w="0" w:type="dxa"/>
            <w:right w:w="108" w:type="dxa"/>
          </w:tblCellMar>
        </w:tblPrEx>
        <w:trPr>
          <w:trHeight w:val="499" w:hRule="atLeast"/>
        </w:trPr>
        <w:tc>
          <w:tcPr>
            <w:tcW w:w="11122" w:type="dxa"/>
            <w:gridSpan w:val="9"/>
            <w:vMerge w:val="continue"/>
            <w:tcBorders>
              <w:top w:val="nil"/>
              <w:left w:val="nil"/>
              <w:bottom w:val="nil"/>
              <w:right w:val="nil"/>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582" w:hRule="atLeast"/>
        </w:trPr>
        <w:tc>
          <w:tcPr>
            <w:tcW w:w="11122" w:type="dxa"/>
            <w:gridSpan w:val="9"/>
            <w:vMerge w:val="continue"/>
            <w:tcBorders>
              <w:top w:val="nil"/>
              <w:left w:val="nil"/>
              <w:bottom w:val="nil"/>
              <w:right w:val="nil"/>
            </w:tcBorders>
            <w:vAlign w:val="center"/>
          </w:tcPr>
          <w:p>
            <w:pPr>
              <w:widowControl/>
              <w:jc w:val="left"/>
              <w:rPr>
                <w:rFonts w:ascii="宋体" w:hAnsi="宋体" w:eastAsia="宋体" w:cs="宋体"/>
                <w:b/>
                <w:bCs/>
                <w:color w:val="000000"/>
                <w:kern w:val="0"/>
                <w:sz w:val="24"/>
                <w:szCs w:val="24"/>
              </w:rPr>
            </w:pPr>
          </w:p>
        </w:tc>
      </w:tr>
    </w:tbl>
    <w:p>
      <w:pPr>
        <w:snapToGrid w:val="0"/>
        <w:spacing w:line="360" w:lineRule="auto"/>
        <w:rPr>
          <w:rFonts w:ascii="宋体" w:hAnsi="宋体" w:eastAsia="宋体"/>
          <w:sz w:val="24"/>
          <w:szCs w:val="24"/>
        </w:rPr>
      </w:pPr>
    </w:p>
    <w:p>
      <w:pPr>
        <w:snapToGrid w:val="0"/>
        <w:spacing w:line="360" w:lineRule="auto"/>
        <w:rPr>
          <w:rFonts w:ascii="宋体" w:hAnsi="宋体" w:eastAsia="宋体"/>
          <w:sz w:val="24"/>
          <w:szCs w:val="24"/>
        </w:rPr>
      </w:pPr>
    </w:p>
    <w:p>
      <w:pPr>
        <w:snapToGrid w:val="0"/>
        <w:spacing w:line="360" w:lineRule="auto"/>
        <w:rPr>
          <w:rFonts w:ascii="宋体" w:hAnsi="宋体" w:eastAsia="宋体"/>
          <w:bCs/>
          <w:sz w:val="24"/>
          <w:szCs w:val="24"/>
        </w:rPr>
      </w:pPr>
      <w:r>
        <w:rPr>
          <w:rFonts w:ascii="宋体" w:hAnsi="宋体" w:eastAsia="宋体"/>
          <w:sz w:val="24"/>
          <w:szCs w:val="24"/>
        </w:rPr>
        <w:t>投标人</w:t>
      </w:r>
      <w:r>
        <w:rPr>
          <w:rFonts w:ascii="宋体" w:hAnsi="宋体" w:eastAsia="宋体"/>
          <w:bCs/>
          <w:sz w:val="24"/>
          <w:szCs w:val="24"/>
        </w:rPr>
        <w:t xml:space="preserve">：（盖章）             </w:t>
      </w:r>
    </w:p>
    <w:p>
      <w:pPr>
        <w:snapToGrid w:val="0"/>
        <w:spacing w:line="360" w:lineRule="auto"/>
        <w:rPr>
          <w:rFonts w:ascii="宋体" w:hAnsi="宋体" w:eastAsia="宋体"/>
          <w:bCs/>
          <w:sz w:val="24"/>
          <w:szCs w:val="24"/>
        </w:rPr>
      </w:pPr>
      <w:r>
        <w:rPr>
          <w:rFonts w:ascii="宋体" w:hAnsi="宋体" w:eastAsia="宋体"/>
          <w:bCs/>
          <w:sz w:val="24"/>
          <w:szCs w:val="24"/>
        </w:rPr>
        <w:t>法定代表人或被授权人（签字或盖章）：</w:t>
      </w:r>
    </w:p>
    <w:p>
      <w:pPr>
        <w:snapToGrid w:val="0"/>
        <w:spacing w:line="360" w:lineRule="auto"/>
        <w:rPr>
          <w:rFonts w:ascii="宋体" w:hAnsi="宋体" w:eastAsia="宋体"/>
          <w:bCs/>
          <w:sz w:val="24"/>
          <w:szCs w:val="24"/>
        </w:rPr>
      </w:pPr>
      <w:r>
        <w:rPr>
          <w:rFonts w:ascii="宋体" w:hAnsi="宋体" w:eastAsia="宋体"/>
          <w:bCs/>
          <w:sz w:val="24"/>
          <w:szCs w:val="24"/>
        </w:rPr>
        <w:t>日期</w:t>
      </w:r>
      <w:r>
        <w:rPr>
          <w:rFonts w:hint="eastAsia" w:ascii="宋体" w:hAnsi="宋体" w:eastAsia="宋体"/>
          <w:bCs/>
          <w:sz w:val="24"/>
          <w:szCs w:val="24"/>
        </w:rPr>
        <w:t>：年 月 日</w:t>
      </w:r>
    </w:p>
    <w:p>
      <w:pPr>
        <w:pStyle w:val="128"/>
        <w:spacing w:line="360" w:lineRule="auto"/>
        <w:ind w:firstLine="0"/>
        <w:jc w:val="both"/>
        <w:rPr>
          <w:rFonts w:hAnsi="宋体"/>
          <w:b w:val="0"/>
          <w:bCs/>
          <w:sz w:val="24"/>
          <w:szCs w:val="24"/>
          <w:lang w:val="en-US"/>
        </w:rPr>
      </w:pPr>
    </w:p>
    <w:sectPr>
      <w:headerReference r:id="rId10" w:type="first"/>
      <w:footerReference r:id="rId12" w:type="first"/>
      <w:headerReference r:id="rId9" w:type="default"/>
      <w:footerReference r:id="rId11" w:type="default"/>
      <w:pgSz w:w="11906" w:h="16838"/>
      <w:pgMar w:top="1418" w:right="1111" w:bottom="1134" w:left="1253" w:header="851" w:footer="675"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enlo">
    <w:altName w:val="Arial"/>
    <w:panose1 w:val="00000000000000000000"/>
    <w:charset w:val="00"/>
    <w:family w:val="auto"/>
    <w:pitch w:val="default"/>
    <w:sig w:usb0="00000000" w:usb1="00000000" w:usb2="02000028" w:usb3="00000000" w:csb0="000001D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宋体-18030">
    <w:altName w:val="微软雅黑"/>
    <w:panose1 w:val="00000000000000000000"/>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35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9"/>
      </w:rPr>
    </w:pPr>
    <w:r>
      <w:fldChar w:fldCharType="begin"/>
    </w:r>
    <w:r>
      <w:rPr>
        <w:rStyle w:val="59"/>
      </w:rPr>
      <w:instrText xml:space="preserve">PAGE  </w:instrText>
    </w:r>
    <w:r>
      <w:fldChar w:fldCharType="end"/>
    </w:r>
  </w:p>
  <w:p>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12</w:t>
    </w:r>
    <w:r>
      <w:rPr>
        <w:lang w:val="zh-CN"/>
      </w:rPr>
      <w:fldChar w:fldCharType="end"/>
    </w:r>
  </w:p>
  <w:p>
    <w:pPr>
      <w:pStyle w:val="34"/>
      <w:wordWrap w:val="0"/>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43</w:t>
    </w:r>
    <w:r>
      <w:rPr>
        <w:lang w:val="zh-CN"/>
      </w:rPr>
      <w:fldChar w:fldCharType="end"/>
    </w:r>
  </w:p>
  <w:p>
    <w:pPr>
      <w:pStyle w:val="34"/>
      <w:ind w:right="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39</w:t>
    </w:r>
    <w:r>
      <w:rPr>
        <w:lang w:val="zh-CN"/>
      </w:rPr>
      <w:fldChar w:fldCharType="end"/>
    </w:r>
  </w:p>
  <w:p>
    <w:pPr>
      <w:pStyle w:val="34"/>
      <w:ind w:right="18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60" w:lineRule="auto"/>
      <w:jc w:val="center"/>
      <w:rPr>
        <w:rFonts w:ascii="宋体" w:hAnsi="宋体" w:eastAsia="宋体" w:cs="宋体"/>
        <w:sz w:val="21"/>
        <w:szCs w:val="21"/>
        <w:u w:val="single"/>
      </w:rPr>
    </w:pPr>
    <w:r>
      <w:rPr>
        <w:rFonts w:hint="eastAsia" w:ascii="宋体" w:hAnsi="宋体" w:eastAsia="宋体" w:cs="宋体"/>
        <w:sz w:val="21"/>
        <w:szCs w:val="21"/>
        <w:u w:val="single"/>
      </w:rPr>
      <w:t>南通农副产品物流中心电梯日常维护保养服务项目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60" w:lineRule="auto"/>
      <w:jc w:val="center"/>
      <w:rPr>
        <w:rFonts w:ascii="宋体" w:hAnsi="宋体" w:eastAsia="宋体" w:cs="宋体"/>
        <w:sz w:val="21"/>
        <w:szCs w:val="21"/>
        <w:u w:val="single"/>
      </w:rPr>
    </w:pPr>
    <w:r>
      <w:rPr>
        <w:rFonts w:hint="eastAsia" w:ascii="宋体" w:hAnsi="宋体" w:eastAsia="宋体" w:cs="宋体"/>
        <w:sz w:val="21"/>
        <w:szCs w:val="21"/>
        <w:u w:val="single"/>
      </w:rPr>
      <w:t>南通农副产品物流中心电梯日常维护保养服务项目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10"/>
      <w:lvlText w:val="%1.%2.%3.%4.%5"/>
      <w:lvlJc w:val="left"/>
      <w:pPr>
        <w:tabs>
          <w:tab w:val="left" w:pos="1008"/>
        </w:tabs>
        <w:ind w:left="1008" w:hanging="1008"/>
      </w:pPr>
    </w:lvl>
    <w:lvl w:ilvl="5" w:tentative="0">
      <w:start w:val="1"/>
      <w:numFmt w:val="decimal"/>
      <w:pStyle w:val="12"/>
      <w:lvlText w:val="%1.%2.%3.%4.%5.%6"/>
      <w:lvlJc w:val="left"/>
      <w:pPr>
        <w:tabs>
          <w:tab w:val="left" w:pos="1152"/>
        </w:tabs>
        <w:ind w:left="1152" w:hanging="1152"/>
      </w:pPr>
    </w:lvl>
    <w:lvl w:ilvl="6" w:tentative="0">
      <w:start w:val="1"/>
      <w:numFmt w:val="decimal"/>
      <w:pStyle w:val="13"/>
      <w:lvlText w:val="%1.%2.%3.%4.%5.%6.%7"/>
      <w:lvlJc w:val="left"/>
      <w:pPr>
        <w:tabs>
          <w:tab w:val="left" w:pos="1296"/>
        </w:tabs>
        <w:ind w:left="1296" w:hanging="1296"/>
      </w:pPr>
    </w:lvl>
    <w:lvl w:ilvl="7" w:tentative="0">
      <w:start w:val="1"/>
      <w:numFmt w:val="decimal"/>
      <w:pStyle w:val="14"/>
      <w:lvlText w:val="%1.%2.%3.%4.%5.%6.%7.%8"/>
      <w:lvlJc w:val="left"/>
      <w:pPr>
        <w:tabs>
          <w:tab w:val="left" w:pos="1440"/>
        </w:tabs>
        <w:ind w:left="1440" w:hanging="1440"/>
      </w:pPr>
    </w:lvl>
    <w:lvl w:ilvl="8" w:tentative="0">
      <w:start w:val="1"/>
      <w:numFmt w:val="decimal"/>
      <w:pStyle w:val="15"/>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attachedTemplate r:id="rId1"/>
  <w:documentProtection w:enforcement="0"/>
  <w:defaultTabStop w:val="425"/>
  <w:drawingGridHorizontalSpacing w:val="130"/>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Tc0Mjk4MGJlMDQ3OTg0N2IwMWNkNmZmOTIzMWQzOTkifQ=="/>
  </w:docVars>
  <w:rsids>
    <w:rsidRoot w:val="00172A27"/>
    <w:rsid w:val="00000F42"/>
    <w:rsid w:val="00002BB3"/>
    <w:rsid w:val="00002E99"/>
    <w:rsid w:val="00003120"/>
    <w:rsid w:val="00004E48"/>
    <w:rsid w:val="000065BA"/>
    <w:rsid w:val="0000682C"/>
    <w:rsid w:val="00006BD9"/>
    <w:rsid w:val="00007268"/>
    <w:rsid w:val="00011821"/>
    <w:rsid w:val="00011D97"/>
    <w:rsid w:val="00013275"/>
    <w:rsid w:val="00014464"/>
    <w:rsid w:val="00015480"/>
    <w:rsid w:val="00016741"/>
    <w:rsid w:val="00017005"/>
    <w:rsid w:val="00030029"/>
    <w:rsid w:val="00030B71"/>
    <w:rsid w:val="00030C8E"/>
    <w:rsid w:val="000316B5"/>
    <w:rsid w:val="00032AAE"/>
    <w:rsid w:val="00033272"/>
    <w:rsid w:val="000334B7"/>
    <w:rsid w:val="00033E4C"/>
    <w:rsid w:val="00036623"/>
    <w:rsid w:val="0004025D"/>
    <w:rsid w:val="00041D74"/>
    <w:rsid w:val="000425CC"/>
    <w:rsid w:val="000428BB"/>
    <w:rsid w:val="00043D7B"/>
    <w:rsid w:val="00044B38"/>
    <w:rsid w:val="00044D7C"/>
    <w:rsid w:val="0004513D"/>
    <w:rsid w:val="0004540A"/>
    <w:rsid w:val="00047818"/>
    <w:rsid w:val="00047BA3"/>
    <w:rsid w:val="00050C33"/>
    <w:rsid w:val="00050EBC"/>
    <w:rsid w:val="00051BD1"/>
    <w:rsid w:val="00052795"/>
    <w:rsid w:val="00053A7F"/>
    <w:rsid w:val="00053FDB"/>
    <w:rsid w:val="000544E7"/>
    <w:rsid w:val="000545A2"/>
    <w:rsid w:val="00054F39"/>
    <w:rsid w:val="00056856"/>
    <w:rsid w:val="00057F39"/>
    <w:rsid w:val="000606FF"/>
    <w:rsid w:val="00062BD0"/>
    <w:rsid w:val="00062CC0"/>
    <w:rsid w:val="0006395C"/>
    <w:rsid w:val="00063A1C"/>
    <w:rsid w:val="000655F6"/>
    <w:rsid w:val="000664E9"/>
    <w:rsid w:val="00066790"/>
    <w:rsid w:val="00070A25"/>
    <w:rsid w:val="00070C6A"/>
    <w:rsid w:val="00071CE9"/>
    <w:rsid w:val="00071ECA"/>
    <w:rsid w:val="00071F4C"/>
    <w:rsid w:val="000729EA"/>
    <w:rsid w:val="00073FC2"/>
    <w:rsid w:val="0007405E"/>
    <w:rsid w:val="00076D27"/>
    <w:rsid w:val="00076E7A"/>
    <w:rsid w:val="000801D6"/>
    <w:rsid w:val="0008168C"/>
    <w:rsid w:val="00083780"/>
    <w:rsid w:val="00084006"/>
    <w:rsid w:val="00084EA4"/>
    <w:rsid w:val="0008510D"/>
    <w:rsid w:val="00085527"/>
    <w:rsid w:val="00085E5C"/>
    <w:rsid w:val="00087C45"/>
    <w:rsid w:val="00087D31"/>
    <w:rsid w:val="00087EA5"/>
    <w:rsid w:val="000904A4"/>
    <w:rsid w:val="00090977"/>
    <w:rsid w:val="00092F5B"/>
    <w:rsid w:val="000930AD"/>
    <w:rsid w:val="0009376F"/>
    <w:rsid w:val="000942D8"/>
    <w:rsid w:val="00094BDE"/>
    <w:rsid w:val="00095160"/>
    <w:rsid w:val="00095347"/>
    <w:rsid w:val="00095817"/>
    <w:rsid w:val="000964CD"/>
    <w:rsid w:val="00096E01"/>
    <w:rsid w:val="00096EA5"/>
    <w:rsid w:val="00097808"/>
    <w:rsid w:val="00097827"/>
    <w:rsid w:val="000A14BC"/>
    <w:rsid w:val="000A3FE1"/>
    <w:rsid w:val="000A609D"/>
    <w:rsid w:val="000A6B56"/>
    <w:rsid w:val="000B05CC"/>
    <w:rsid w:val="000B0A01"/>
    <w:rsid w:val="000B1F33"/>
    <w:rsid w:val="000B2189"/>
    <w:rsid w:val="000B3E24"/>
    <w:rsid w:val="000B4084"/>
    <w:rsid w:val="000B4ED6"/>
    <w:rsid w:val="000B5483"/>
    <w:rsid w:val="000B6080"/>
    <w:rsid w:val="000B6F4C"/>
    <w:rsid w:val="000C0BC0"/>
    <w:rsid w:val="000C1BBC"/>
    <w:rsid w:val="000C64F5"/>
    <w:rsid w:val="000C6CB4"/>
    <w:rsid w:val="000C6DAA"/>
    <w:rsid w:val="000C70FC"/>
    <w:rsid w:val="000C72A9"/>
    <w:rsid w:val="000D1CF4"/>
    <w:rsid w:val="000D319F"/>
    <w:rsid w:val="000D4009"/>
    <w:rsid w:val="000D4168"/>
    <w:rsid w:val="000D4DFF"/>
    <w:rsid w:val="000D548B"/>
    <w:rsid w:val="000D58F8"/>
    <w:rsid w:val="000D610B"/>
    <w:rsid w:val="000D6670"/>
    <w:rsid w:val="000D727B"/>
    <w:rsid w:val="000D7683"/>
    <w:rsid w:val="000E0F02"/>
    <w:rsid w:val="000F14CE"/>
    <w:rsid w:val="000F1572"/>
    <w:rsid w:val="000F24F8"/>
    <w:rsid w:val="000F4414"/>
    <w:rsid w:val="000F57BE"/>
    <w:rsid w:val="000F7991"/>
    <w:rsid w:val="000F7F26"/>
    <w:rsid w:val="001004C7"/>
    <w:rsid w:val="00101220"/>
    <w:rsid w:val="00101329"/>
    <w:rsid w:val="001016A5"/>
    <w:rsid w:val="00101A86"/>
    <w:rsid w:val="001071C5"/>
    <w:rsid w:val="00107674"/>
    <w:rsid w:val="0011016E"/>
    <w:rsid w:val="00110493"/>
    <w:rsid w:val="00110B13"/>
    <w:rsid w:val="00111CAB"/>
    <w:rsid w:val="00111FFC"/>
    <w:rsid w:val="00112CCD"/>
    <w:rsid w:val="00113FF3"/>
    <w:rsid w:val="0011467E"/>
    <w:rsid w:val="00116B2A"/>
    <w:rsid w:val="001178CA"/>
    <w:rsid w:val="00117955"/>
    <w:rsid w:val="0012045B"/>
    <w:rsid w:val="0012159E"/>
    <w:rsid w:val="001229BB"/>
    <w:rsid w:val="001244EF"/>
    <w:rsid w:val="00124715"/>
    <w:rsid w:val="001264D8"/>
    <w:rsid w:val="0012683E"/>
    <w:rsid w:val="00126A7E"/>
    <w:rsid w:val="001271F6"/>
    <w:rsid w:val="0012752F"/>
    <w:rsid w:val="00127A60"/>
    <w:rsid w:val="00130E90"/>
    <w:rsid w:val="00130F1E"/>
    <w:rsid w:val="0013295D"/>
    <w:rsid w:val="0013301A"/>
    <w:rsid w:val="0013350E"/>
    <w:rsid w:val="00134C5F"/>
    <w:rsid w:val="001355EF"/>
    <w:rsid w:val="00136425"/>
    <w:rsid w:val="001365A1"/>
    <w:rsid w:val="00137424"/>
    <w:rsid w:val="00137E76"/>
    <w:rsid w:val="00137F3E"/>
    <w:rsid w:val="001418BC"/>
    <w:rsid w:val="001422C0"/>
    <w:rsid w:val="00144741"/>
    <w:rsid w:val="00144D5A"/>
    <w:rsid w:val="00144F72"/>
    <w:rsid w:val="001450C9"/>
    <w:rsid w:val="00146E6C"/>
    <w:rsid w:val="00150C15"/>
    <w:rsid w:val="001512FF"/>
    <w:rsid w:val="001520C1"/>
    <w:rsid w:val="0015290A"/>
    <w:rsid w:val="00152A47"/>
    <w:rsid w:val="00153014"/>
    <w:rsid w:val="00153055"/>
    <w:rsid w:val="00153238"/>
    <w:rsid w:val="00153EE6"/>
    <w:rsid w:val="001550BC"/>
    <w:rsid w:val="0015541B"/>
    <w:rsid w:val="00156125"/>
    <w:rsid w:val="001562D1"/>
    <w:rsid w:val="001564DF"/>
    <w:rsid w:val="00156950"/>
    <w:rsid w:val="001573BD"/>
    <w:rsid w:val="00157430"/>
    <w:rsid w:val="00160918"/>
    <w:rsid w:val="00160B40"/>
    <w:rsid w:val="00162321"/>
    <w:rsid w:val="00164144"/>
    <w:rsid w:val="001644B1"/>
    <w:rsid w:val="00164BB1"/>
    <w:rsid w:val="00164C1E"/>
    <w:rsid w:val="0016533B"/>
    <w:rsid w:val="0016582C"/>
    <w:rsid w:val="001662E0"/>
    <w:rsid w:val="001669E4"/>
    <w:rsid w:val="00166E58"/>
    <w:rsid w:val="001674DD"/>
    <w:rsid w:val="00167854"/>
    <w:rsid w:val="00167932"/>
    <w:rsid w:val="00167B21"/>
    <w:rsid w:val="00167E0F"/>
    <w:rsid w:val="001710A5"/>
    <w:rsid w:val="00171523"/>
    <w:rsid w:val="001721BD"/>
    <w:rsid w:val="00172A27"/>
    <w:rsid w:val="00176C01"/>
    <w:rsid w:val="001800C9"/>
    <w:rsid w:val="00180195"/>
    <w:rsid w:val="00180F2F"/>
    <w:rsid w:val="00181D04"/>
    <w:rsid w:val="00181D1D"/>
    <w:rsid w:val="00181F93"/>
    <w:rsid w:val="00182FEE"/>
    <w:rsid w:val="001841D6"/>
    <w:rsid w:val="001848D1"/>
    <w:rsid w:val="00184FF6"/>
    <w:rsid w:val="0018549B"/>
    <w:rsid w:val="001854EE"/>
    <w:rsid w:val="001857CF"/>
    <w:rsid w:val="00185A76"/>
    <w:rsid w:val="00186AA8"/>
    <w:rsid w:val="00187592"/>
    <w:rsid w:val="0019057C"/>
    <w:rsid w:val="00191820"/>
    <w:rsid w:val="00192108"/>
    <w:rsid w:val="00192CE3"/>
    <w:rsid w:val="001940BD"/>
    <w:rsid w:val="001948DB"/>
    <w:rsid w:val="00194ABC"/>
    <w:rsid w:val="00194E6E"/>
    <w:rsid w:val="00195F85"/>
    <w:rsid w:val="001969C5"/>
    <w:rsid w:val="00196AA5"/>
    <w:rsid w:val="00197858"/>
    <w:rsid w:val="00197EBE"/>
    <w:rsid w:val="00197F9C"/>
    <w:rsid w:val="001A0267"/>
    <w:rsid w:val="001A035D"/>
    <w:rsid w:val="001A1734"/>
    <w:rsid w:val="001A2C33"/>
    <w:rsid w:val="001A35A3"/>
    <w:rsid w:val="001A3AAC"/>
    <w:rsid w:val="001A4DE1"/>
    <w:rsid w:val="001A6096"/>
    <w:rsid w:val="001A7175"/>
    <w:rsid w:val="001A7550"/>
    <w:rsid w:val="001B0375"/>
    <w:rsid w:val="001B0929"/>
    <w:rsid w:val="001B12CD"/>
    <w:rsid w:val="001B2567"/>
    <w:rsid w:val="001B3B0E"/>
    <w:rsid w:val="001B3E0B"/>
    <w:rsid w:val="001B5AB1"/>
    <w:rsid w:val="001B5E94"/>
    <w:rsid w:val="001B636D"/>
    <w:rsid w:val="001C0740"/>
    <w:rsid w:val="001C0D97"/>
    <w:rsid w:val="001C1EB9"/>
    <w:rsid w:val="001C277E"/>
    <w:rsid w:val="001C43F5"/>
    <w:rsid w:val="001C62BE"/>
    <w:rsid w:val="001C6437"/>
    <w:rsid w:val="001C681D"/>
    <w:rsid w:val="001D07E9"/>
    <w:rsid w:val="001D0C09"/>
    <w:rsid w:val="001D1340"/>
    <w:rsid w:val="001D289C"/>
    <w:rsid w:val="001D31E6"/>
    <w:rsid w:val="001D335F"/>
    <w:rsid w:val="001D4BFC"/>
    <w:rsid w:val="001D4E74"/>
    <w:rsid w:val="001D6F0B"/>
    <w:rsid w:val="001D70C2"/>
    <w:rsid w:val="001D77B4"/>
    <w:rsid w:val="001E0721"/>
    <w:rsid w:val="001E0924"/>
    <w:rsid w:val="001E39BE"/>
    <w:rsid w:val="001E3FB3"/>
    <w:rsid w:val="001E699F"/>
    <w:rsid w:val="001E6D52"/>
    <w:rsid w:val="001F1655"/>
    <w:rsid w:val="001F32F2"/>
    <w:rsid w:val="001F3954"/>
    <w:rsid w:val="001F4159"/>
    <w:rsid w:val="001F42B7"/>
    <w:rsid w:val="001F4FA2"/>
    <w:rsid w:val="001F527E"/>
    <w:rsid w:val="001F52ED"/>
    <w:rsid w:val="001F63F5"/>
    <w:rsid w:val="001F698F"/>
    <w:rsid w:val="001F6C06"/>
    <w:rsid w:val="001F741B"/>
    <w:rsid w:val="001F7EC8"/>
    <w:rsid w:val="001F7FC1"/>
    <w:rsid w:val="00201551"/>
    <w:rsid w:val="00201E8F"/>
    <w:rsid w:val="00202EEF"/>
    <w:rsid w:val="0020419A"/>
    <w:rsid w:val="00204E12"/>
    <w:rsid w:val="002065F0"/>
    <w:rsid w:val="002079C8"/>
    <w:rsid w:val="00207A01"/>
    <w:rsid w:val="00212815"/>
    <w:rsid w:val="002128EE"/>
    <w:rsid w:val="002143F6"/>
    <w:rsid w:val="002145C2"/>
    <w:rsid w:val="002147C6"/>
    <w:rsid w:val="00215055"/>
    <w:rsid w:val="00215DFB"/>
    <w:rsid w:val="0021723B"/>
    <w:rsid w:val="002223E2"/>
    <w:rsid w:val="002230D9"/>
    <w:rsid w:val="0022594F"/>
    <w:rsid w:val="0022646B"/>
    <w:rsid w:val="002273DF"/>
    <w:rsid w:val="00227AE8"/>
    <w:rsid w:val="00230CAF"/>
    <w:rsid w:val="00231702"/>
    <w:rsid w:val="002329E8"/>
    <w:rsid w:val="0023305C"/>
    <w:rsid w:val="00233D0B"/>
    <w:rsid w:val="00234FF0"/>
    <w:rsid w:val="00236CEA"/>
    <w:rsid w:val="00236DDB"/>
    <w:rsid w:val="0024253B"/>
    <w:rsid w:val="00243F11"/>
    <w:rsid w:val="002440B3"/>
    <w:rsid w:val="002446D8"/>
    <w:rsid w:val="00244DEE"/>
    <w:rsid w:val="002466B9"/>
    <w:rsid w:val="00247287"/>
    <w:rsid w:val="00251617"/>
    <w:rsid w:val="002525C2"/>
    <w:rsid w:val="00253947"/>
    <w:rsid w:val="00253D37"/>
    <w:rsid w:val="00254485"/>
    <w:rsid w:val="00254DF1"/>
    <w:rsid w:val="00255380"/>
    <w:rsid w:val="00256C73"/>
    <w:rsid w:val="002626DA"/>
    <w:rsid w:val="0026504A"/>
    <w:rsid w:val="00265FDC"/>
    <w:rsid w:val="00266058"/>
    <w:rsid w:val="00266760"/>
    <w:rsid w:val="00267431"/>
    <w:rsid w:val="002674E8"/>
    <w:rsid w:val="00271C47"/>
    <w:rsid w:val="00272D0A"/>
    <w:rsid w:val="002738B7"/>
    <w:rsid w:val="00273BE2"/>
    <w:rsid w:val="00274249"/>
    <w:rsid w:val="002755CA"/>
    <w:rsid w:val="002779C4"/>
    <w:rsid w:val="002854B2"/>
    <w:rsid w:val="002860E5"/>
    <w:rsid w:val="0028646B"/>
    <w:rsid w:val="002868B0"/>
    <w:rsid w:val="00287578"/>
    <w:rsid w:val="00287A2C"/>
    <w:rsid w:val="0029087B"/>
    <w:rsid w:val="00290C0D"/>
    <w:rsid w:val="00290D8B"/>
    <w:rsid w:val="00291E6F"/>
    <w:rsid w:val="00292411"/>
    <w:rsid w:val="00292952"/>
    <w:rsid w:val="00292996"/>
    <w:rsid w:val="00292BF4"/>
    <w:rsid w:val="00292EA1"/>
    <w:rsid w:val="00292EEB"/>
    <w:rsid w:val="00293E5D"/>
    <w:rsid w:val="00295880"/>
    <w:rsid w:val="002A0ECE"/>
    <w:rsid w:val="002A1E60"/>
    <w:rsid w:val="002A28B7"/>
    <w:rsid w:val="002A2B5E"/>
    <w:rsid w:val="002A38CA"/>
    <w:rsid w:val="002A485A"/>
    <w:rsid w:val="002A55DC"/>
    <w:rsid w:val="002A6D31"/>
    <w:rsid w:val="002A7396"/>
    <w:rsid w:val="002A73B7"/>
    <w:rsid w:val="002A7BCB"/>
    <w:rsid w:val="002A7D03"/>
    <w:rsid w:val="002A7E9B"/>
    <w:rsid w:val="002B09A4"/>
    <w:rsid w:val="002B2C25"/>
    <w:rsid w:val="002B4A69"/>
    <w:rsid w:val="002B4D39"/>
    <w:rsid w:val="002B5C9E"/>
    <w:rsid w:val="002B6033"/>
    <w:rsid w:val="002C0C8E"/>
    <w:rsid w:val="002C0E11"/>
    <w:rsid w:val="002C1F10"/>
    <w:rsid w:val="002C1FB8"/>
    <w:rsid w:val="002C2524"/>
    <w:rsid w:val="002C3164"/>
    <w:rsid w:val="002C320F"/>
    <w:rsid w:val="002C323F"/>
    <w:rsid w:val="002C4240"/>
    <w:rsid w:val="002C4540"/>
    <w:rsid w:val="002C46A0"/>
    <w:rsid w:val="002C5AD9"/>
    <w:rsid w:val="002C5C19"/>
    <w:rsid w:val="002C5DB7"/>
    <w:rsid w:val="002C605A"/>
    <w:rsid w:val="002C692C"/>
    <w:rsid w:val="002C74F2"/>
    <w:rsid w:val="002C7678"/>
    <w:rsid w:val="002D0B93"/>
    <w:rsid w:val="002D0DF0"/>
    <w:rsid w:val="002D71DA"/>
    <w:rsid w:val="002D7210"/>
    <w:rsid w:val="002D74B1"/>
    <w:rsid w:val="002D7EAD"/>
    <w:rsid w:val="002E0558"/>
    <w:rsid w:val="002E1EEE"/>
    <w:rsid w:val="002E2CA1"/>
    <w:rsid w:val="002E5889"/>
    <w:rsid w:val="002E68B8"/>
    <w:rsid w:val="002E7594"/>
    <w:rsid w:val="002E7BC6"/>
    <w:rsid w:val="002F0283"/>
    <w:rsid w:val="002F0512"/>
    <w:rsid w:val="002F1184"/>
    <w:rsid w:val="002F1499"/>
    <w:rsid w:val="002F17B2"/>
    <w:rsid w:val="002F4EDC"/>
    <w:rsid w:val="002F7241"/>
    <w:rsid w:val="002F76F2"/>
    <w:rsid w:val="002F782C"/>
    <w:rsid w:val="002F7EFB"/>
    <w:rsid w:val="003000C5"/>
    <w:rsid w:val="00300AFF"/>
    <w:rsid w:val="00300B9D"/>
    <w:rsid w:val="003012F6"/>
    <w:rsid w:val="003014A1"/>
    <w:rsid w:val="00301C7A"/>
    <w:rsid w:val="00301CE6"/>
    <w:rsid w:val="00301E37"/>
    <w:rsid w:val="00302160"/>
    <w:rsid w:val="0030217C"/>
    <w:rsid w:val="003023D6"/>
    <w:rsid w:val="00302B3A"/>
    <w:rsid w:val="00304AD6"/>
    <w:rsid w:val="003055F6"/>
    <w:rsid w:val="003058CF"/>
    <w:rsid w:val="00305D0B"/>
    <w:rsid w:val="00306B54"/>
    <w:rsid w:val="00307E92"/>
    <w:rsid w:val="00310784"/>
    <w:rsid w:val="003107EA"/>
    <w:rsid w:val="00312AA2"/>
    <w:rsid w:val="00314981"/>
    <w:rsid w:val="00315AEF"/>
    <w:rsid w:val="00317BD1"/>
    <w:rsid w:val="00323FDE"/>
    <w:rsid w:val="0032546F"/>
    <w:rsid w:val="00325ECB"/>
    <w:rsid w:val="00326B93"/>
    <w:rsid w:val="00327A0B"/>
    <w:rsid w:val="003302D8"/>
    <w:rsid w:val="003303FB"/>
    <w:rsid w:val="00330B85"/>
    <w:rsid w:val="00331A18"/>
    <w:rsid w:val="00332188"/>
    <w:rsid w:val="00332604"/>
    <w:rsid w:val="00332BF7"/>
    <w:rsid w:val="00333663"/>
    <w:rsid w:val="00333749"/>
    <w:rsid w:val="00334BDB"/>
    <w:rsid w:val="00335484"/>
    <w:rsid w:val="003361B7"/>
    <w:rsid w:val="003361D3"/>
    <w:rsid w:val="003419A0"/>
    <w:rsid w:val="00341B95"/>
    <w:rsid w:val="00341DF3"/>
    <w:rsid w:val="003443CA"/>
    <w:rsid w:val="00352400"/>
    <w:rsid w:val="0035253E"/>
    <w:rsid w:val="00352791"/>
    <w:rsid w:val="00353A81"/>
    <w:rsid w:val="00353CC3"/>
    <w:rsid w:val="00353E03"/>
    <w:rsid w:val="00354045"/>
    <w:rsid w:val="00354849"/>
    <w:rsid w:val="00355544"/>
    <w:rsid w:val="00355C2F"/>
    <w:rsid w:val="003566B4"/>
    <w:rsid w:val="00356DA3"/>
    <w:rsid w:val="00357013"/>
    <w:rsid w:val="00357E24"/>
    <w:rsid w:val="00360E89"/>
    <w:rsid w:val="00361127"/>
    <w:rsid w:val="003615F4"/>
    <w:rsid w:val="003620E8"/>
    <w:rsid w:val="003642B0"/>
    <w:rsid w:val="003646AF"/>
    <w:rsid w:val="00365AD1"/>
    <w:rsid w:val="00366E6E"/>
    <w:rsid w:val="00366F39"/>
    <w:rsid w:val="00367E44"/>
    <w:rsid w:val="0037036A"/>
    <w:rsid w:val="003716BF"/>
    <w:rsid w:val="0037194A"/>
    <w:rsid w:val="00371F93"/>
    <w:rsid w:val="00374D15"/>
    <w:rsid w:val="00375300"/>
    <w:rsid w:val="00375C4C"/>
    <w:rsid w:val="00376324"/>
    <w:rsid w:val="003777A2"/>
    <w:rsid w:val="0038087A"/>
    <w:rsid w:val="00380F75"/>
    <w:rsid w:val="003823EE"/>
    <w:rsid w:val="003829A5"/>
    <w:rsid w:val="00382F2B"/>
    <w:rsid w:val="0038452B"/>
    <w:rsid w:val="00384D48"/>
    <w:rsid w:val="00384F50"/>
    <w:rsid w:val="003855B1"/>
    <w:rsid w:val="00387E12"/>
    <w:rsid w:val="00391353"/>
    <w:rsid w:val="00391B74"/>
    <w:rsid w:val="0039382F"/>
    <w:rsid w:val="00393A41"/>
    <w:rsid w:val="00397085"/>
    <w:rsid w:val="003A1478"/>
    <w:rsid w:val="003A4833"/>
    <w:rsid w:val="003A5F28"/>
    <w:rsid w:val="003A6079"/>
    <w:rsid w:val="003A60B0"/>
    <w:rsid w:val="003A6957"/>
    <w:rsid w:val="003B0F46"/>
    <w:rsid w:val="003B18DB"/>
    <w:rsid w:val="003B1F01"/>
    <w:rsid w:val="003B3618"/>
    <w:rsid w:val="003B3A6D"/>
    <w:rsid w:val="003B5622"/>
    <w:rsid w:val="003B5FBF"/>
    <w:rsid w:val="003C012A"/>
    <w:rsid w:val="003C196A"/>
    <w:rsid w:val="003C2373"/>
    <w:rsid w:val="003C39CE"/>
    <w:rsid w:val="003C5E7D"/>
    <w:rsid w:val="003D0157"/>
    <w:rsid w:val="003D1126"/>
    <w:rsid w:val="003D23A3"/>
    <w:rsid w:val="003D4275"/>
    <w:rsid w:val="003D45DD"/>
    <w:rsid w:val="003D4D86"/>
    <w:rsid w:val="003D5142"/>
    <w:rsid w:val="003D5A81"/>
    <w:rsid w:val="003D6D00"/>
    <w:rsid w:val="003D7664"/>
    <w:rsid w:val="003E076D"/>
    <w:rsid w:val="003E0A24"/>
    <w:rsid w:val="003E0AF6"/>
    <w:rsid w:val="003E2C5D"/>
    <w:rsid w:val="003E3289"/>
    <w:rsid w:val="003E6636"/>
    <w:rsid w:val="003E7205"/>
    <w:rsid w:val="003E7DB8"/>
    <w:rsid w:val="003F1361"/>
    <w:rsid w:val="003F195B"/>
    <w:rsid w:val="003F1F97"/>
    <w:rsid w:val="003F28E3"/>
    <w:rsid w:val="003F7CAC"/>
    <w:rsid w:val="004005BF"/>
    <w:rsid w:val="00400AD4"/>
    <w:rsid w:val="0040126E"/>
    <w:rsid w:val="004014A4"/>
    <w:rsid w:val="00401908"/>
    <w:rsid w:val="0040254F"/>
    <w:rsid w:val="004026D6"/>
    <w:rsid w:val="00402877"/>
    <w:rsid w:val="00404668"/>
    <w:rsid w:val="0040495C"/>
    <w:rsid w:val="00406BDD"/>
    <w:rsid w:val="00407B75"/>
    <w:rsid w:val="00407D23"/>
    <w:rsid w:val="00410C46"/>
    <w:rsid w:val="00412B19"/>
    <w:rsid w:val="00412D9B"/>
    <w:rsid w:val="0041465C"/>
    <w:rsid w:val="00414C09"/>
    <w:rsid w:val="004162C9"/>
    <w:rsid w:val="004165C3"/>
    <w:rsid w:val="00417B73"/>
    <w:rsid w:val="00417FB1"/>
    <w:rsid w:val="004205E3"/>
    <w:rsid w:val="00420F0A"/>
    <w:rsid w:val="00420FB6"/>
    <w:rsid w:val="004219E7"/>
    <w:rsid w:val="004221F9"/>
    <w:rsid w:val="00422543"/>
    <w:rsid w:val="0042324A"/>
    <w:rsid w:val="00423B4C"/>
    <w:rsid w:val="00423BBF"/>
    <w:rsid w:val="00424960"/>
    <w:rsid w:val="00425B99"/>
    <w:rsid w:val="00425BDC"/>
    <w:rsid w:val="00427673"/>
    <w:rsid w:val="00430299"/>
    <w:rsid w:val="00430BA2"/>
    <w:rsid w:val="00431102"/>
    <w:rsid w:val="0043127A"/>
    <w:rsid w:val="004340BA"/>
    <w:rsid w:val="004348F6"/>
    <w:rsid w:val="00434928"/>
    <w:rsid w:val="00436CF1"/>
    <w:rsid w:val="00437BFA"/>
    <w:rsid w:val="00437E52"/>
    <w:rsid w:val="00440D8D"/>
    <w:rsid w:val="00441434"/>
    <w:rsid w:val="00441648"/>
    <w:rsid w:val="0044220B"/>
    <w:rsid w:val="00442B90"/>
    <w:rsid w:val="004430C1"/>
    <w:rsid w:val="00443D45"/>
    <w:rsid w:val="00446625"/>
    <w:rsid w:val="00446A0A"/>
    <w:rsid w:val="00452C60"/>
    <w:rsid w:val="0045374E"/>
    <w:rsid w:val="00453FE5"/>
    <w:rsid w:val="00455011"/>
    <w:rsid w:val="00455120"/>
    <w:rsid w:val="00455367"/>
    <w:rsid w:val="00456434"/>
    <w:rsid w:val="004571EA"/>
    <w:rsid w:val="0045783D"/>
    <w:rsid w:val="004609A4"/>
    <w:rsid w:val="00461209"/>
    <w:rsid w:val="00461F2E"/>
    <w:rsid w:val="00462F94"/>
    <w:rsid w:val="004637A3"/>
    <w:rsid w:val="0046451B"/>
    <w:rsid w:val="00465C1D"/>
    <w:rsid w:val="0046692A"/>
    <w:rsid w:val="00466B32"/>
    <w:rsid w:val="00466C1A"/>
    <w:rsid w:val="0047026F"/>
    <w:rsid w:val="0047080B"/>
    <w:rsid w:val="00470B0E"/>
    <w:rsid w:val="00470C25"/>
    <w:rsid w:val="00471506"/>
    <w:rsid w:val="00472673"/>
    <w:rsid w:val="0047364F"/>
    <w:rsid w:val="00475A43"/>
    <w:rsid w:val="00475AB0"/>
    <w:rsid w:val="004760DF"/>
    <w:rsid w:val="00481D55"/>
    <w:rsid w:val="00482390"/>
    <w:rsid w:val="00482918"/>
    <w:rsid w:val="00482B6F"/>
    <w:rsid w:val="00484014"/>
    <w:rsid w:val="00486780"/>
    <w:rsid w:val="00486A1C"/>
    <w:rsid w:val="00487B3F"/>
    <w:rsid w:val="004951E8"/>
    <w:rsid w:val="0049648C"/>
    <w:rsid w:val="00496596"/>
    <w:rsid w:val="004A1166"/>
    <w:rsid w:val="004A1252"/>
    <w:rsid w:val="004A1438"/>
    <w:rsid w:val="004A161F"/>
    <w:rsid w:val="004A1E58"/>
    <w:rsid w:val="004A20DD"/>
    <w:rsid w:val="004A23CF"/>
    <w:rsid w:val="004A2763"/>
    <w:rsid w:val="004A314A"/>
    <w:rsid w:val="004A3613"/>
    <w:rsid w:val="004A438B"/>
    <w:rsid w:val="004A5728"/>
    <w:rsid w:val="004A5851"/>
    <w:rsid w:val="004B0535"/>
    <w:rsid w:val="004B12F9"/>
    <w:rsid w:val="004B16B9"/>
    <w:rsid w:val="004B226A"/>
    <w:rsid w:val="004B440A"/>
    <w:rsid w:val="004B57AA"/>
    <w:rsid w:val="004B57D6"/>
    <w:rsid w:val="004B5ACC"/>
    <w:rsid w:val="004C04DC"/>
    <w:rsid w:val="004C090D"/>
    <w:rsid w:val="004C0DB1"/>
    <w:rsid w:val="004C0F65"/>
    <w:rsid w:val="004C19DA"/>
    <w:rsid w:val="004C25B7"/>
    <w:rsid w:val="004C2986"/>
    <w:rsid w:val="004C2C26"/>
    <w:rsid w:val="004C2DD9"/>
    <w:rsid w:val="004C3592"/>
    <w:rsid w:val="004C3DF8"/>
    <w:rsid w:val="004C6BEA"/>
    <w:rsid w:val="004C73A0"/>
    <w:rsid w:val="004D05C8"/>
    <w:rsid w:val="004D08BB"/>
    <w:rsid w:val="004D0D62"/>
    <w:rsid w:val="004D1755"/>
    <w:rsid w:val="004D1BE6"/>
    <w:rsid w:val="004D1EBB"/>
    <w:rsid w:val="004D3E3A"/>
    <w:rsid w:val="004D56D7"/>
    <w:rsid w:val="004D737F"/>
    <w:rsid w:val="004E03D4"/>
    <w:rsid w:val="004E0469"/>
    <w:rsid w:val="004E0D0D"/>
    <w:rsid w:val="004E2BF1"/>
    <w:rsid w:val="004E2FA5"/>
    <w:rsid w:val="004E3031"/>
    <w:rsid w:val="004E3263"/>
    <w:rsid w:val="004E3A44"/>
    <w:rsid w:val="004E43B4"/>
    <w:rsid w:val="004E519E"/>
    <w:rsid w:val="004E5B29"/>
    <w:rsid w:val="004E6417"/>
    <w:rsid w:val="004E73AB"/>
    <w:rsid w:val="004F154F"/>
    <w:rsid w:val="004F1F16"/>
    <w:rsid w:val="004F2AA8"/>
    <w:rsid w:val="004F3A60"/>
    <w:rsid w:val="004F4808"/>
    <w:rsid w:val="004F76C8"/>
    <w:rsid w:val="00500740"/>
    <w:rsid w:val="00500B65"/>
    <w:rsid w:val="00501C2E"/>
    <w:rsid w:val="00502F7D"/>
    <w:rsid w:val="00503F61"/>
    <w:rsid w:val="00504A8B"/>
    <w:rsid w:val="005055DF"/>
    <w:rsid w:val="00505F2E"/>
    <w:rsid w:val="00506498"/>
    <w:rsid w:val="00506BFD"/>
    <w:rsid w:val="00506F48"/>
    <w:rsid w:val="00507654"/>
    <w:rsid w:val="00511200"/>
    <w:rsid w:val="005118BA"/>
    <w:rsid w:val="00511B42"/>
    <w:rsid w:val="00511CEB"/>
    <w:rsid w:val="005138E0"/>
    <w:rsid w:val="00515355"/>
    <w:rsid w:val="005159E3"/>
    <w:rsid w:val="0051627B"/>
    <w:rsid w:val="0052054E"/>
    <w:rsid w:val="00520605"/>
    <w:rsid w:val="005221BF"/>
    <w:rsid w:val="00523B24"/>
    <w:rsid w:val="00523BFA"/>
    <w:rsid w:val="0052427C"/>
    <w:rsid w:val="0052528C"/>
    <w:rsid w:val="00527D9A"/>
    <w:rsid w:val="00530223"/>
    <w:rsid w:val="0053103B"/>
    <w:rsid w:val="00533CC2"/>
    <w:rsid w:val="00535236"/>
    <w:rsid w:val="00535A22"/>
    <w:rsid w:val="00536E5C"/>
    <w:rsid w:val="00541219"/>
    <w:rsid w:val="00541480"/>
    <w:rsid w:val="00541932"/>
    <w:rsid w:val="00541AB8"/>
    <w:rsid w:val="005434A7"/>
    <w:rsid w:val="00543A0D"/>
    <w:rsid w:val="00543E80"/>
    <w:rsid w:val="00544F0B"/>
    <w:rsid w:val="00545132"/>
    <w:rsid w:val="005456E1"/>
    <w:rsid w:val="00546697"/>
    <w:rsid w:val="00546C31"/>
    <w:rsid w:val="00547A35"/>
    <w:rsid w:val="00547C8C"/>
    <w:rsid w:val="00550055"/>
    <w:rsid w:val="0055071A"/>
    <w:rsid w:val="005514F5"/>
    <w:rsid w:val="0055170F"/>
    <w:rsid w:val="005532DB"/>
    <w:rsid w:val="0055548A"/>
    <w:rsid w:val="00555770"/>
    <w:rsid w:val="005620B1"/>
    <w:rsid w:val="00563B61"/>
    <w:rsid w:val="005645D1"/>
    <w:rsid w:val="00564747"/>
    <w:rsid w:val="00565358"/>
    <w:rsid w:val="0056672A"/>
    <w:rsid w:val="00566DEE"/>
    <w:rsid w:val="00566E6D"/>
    <w:rsid w:val="00567D69"/>
    <w:rsid w:val="005715F4"/>
    <w:rsid w:val="00571FF8"/>
    <w:rsid w:val="0057275A"/>
    <w:rsid w:val="00572B3C"/>
    <w:rsid w:val="00573713"/>
    <w:rsid w:val="00574B1F"/>
    <w:rsid w:val="005754F4"/>
    <w:rsid w:val="005775F1"/>
    <w:rsid w:val="00582DF5"/>
    <w:rsid w:val="0058619B"/>
    <w:rsid w:val="005900E8"/>
    <w:rsid w:val="005906A1"/>
    <w:rsid w:val="00590A5E"/>
    <w:rsid w:val="00591838"/>
    <w:rsid w:val="00592941"/>
    <w:rsid w:val="005929F9"/>
    <w:rsid w:val="00593DF2"/>
    <w:rsid w:val="00593E73"/>
    <w:rsid w:val="005945C4"/>
    <w:rsid w:val="005956EB"/>
    <w:rsid w:val="00596CBC"/>
    <w:rsid w:val="005971D7"/>
    <w:rsid w:val="005A088E"/>
    <w:rsid w:val="005A1378"/>
    <w:rsid w:val="005A147E"/>
    <w:rsid w:val="005A1F6A"/>
    <w:rsid w:val="005A201A"/>
    <w:rsid w:val="005A315A"/>
    <w:rsid w:val="005A3C4B"/>
    <w:rsid w:val="005A3EC7"/>
    <w:rsid w:val="005A4716"/>
    <w:rsid w:val="005A47E3"/>
    <w:rsid w:val="005A51CA"/>
    <w:rsid w:val="005A625F"/>
    <w:rsid w:val="005A71A0"/>
    <w:rsid w:val="005A7CCD"/>
    <w:rsid w:val="005B1F95"/>
    <w:rsid w:val="005B251E"/>
    <w:rsid w:val="005B5EA3"/>
    <w:rsid w:val="005B7500"/>
    <w:rsid w:val="005B7D9F"/>
    <w:rsid w:val="005C016F"/>
    <w:rsid w:val="005C0B3F"/>
    <w:rsid w:val="005C1701"/>
    <w:rsid w:val="005C1FA1"/>
    <w:rsid w:val="005C251B"/>
    <w:rsid w:val="005C2664"/>
    <w:rsid w:val="005C3035"/>
    <w:rsid w:val="005C419B"/>
    <w:rsid w:val="005C489E"/>
    <w:rsid w:val="005C603B"/>
    <w:rsid w:val="005C7CBE"/>
    <w:rsid w:val="005D00DA"/>
    <w:rsid w:val="005D0A25"/>
    <w:rsid w:val="005D0DA6"/>
    <w:rsid w:val="005D1223"/>
    <w:rsid w:val="005D1682"/>
    <w:rsid w:val="005D1D7A"/>
    <w:rsid w:val="005D2CD5"/>
    <w:rsid w:val="005D3A4F"/>
    <w:rsid w:val="005D3AD3"/>
    <w:rsid w:val="005D6038"/>
    <w:rsid w:val="005D685F"/>
    <w:rsid w:val="005D7729"/>
    <w:rsid w:val="005D79E8"/>
    <w:rsid w:val="005D7BF4"/>
    <w:rsid w:val="005E1F61"/>
    <w:rsid w:val="005E316B"/>
    <w:rsid w:val="005E3D1C"/>
    <w:rsid w:val="005E5C75"/>
    <w:rsid w:val="005E6442"/>
    <w:rsid w:val="005E71B7"/>
    <w:rsid w:val="005E7ECE"/>
    <w:rsid w:val="005F355C"/>
    <w:rsid w:val="005F38C5"/>
    <w:rsid w:val="005F38F3"/>
    <w:rsid w:val="005F4636"/>
    <w:rsid w:val="005F5974"/>
    <w:rsid w:val="005F59D9"/>
    <w:rsid w:val="005F68ED"/>
    <w:rsid w:val="005F694B"/>
    <w:rsid w:val="006045CA"/>
    <w:rsid w:val="0061320D"/>
    <w:rsid w:val="0061462E"/>
    <w:rsid w:val="00614B21"/>
    <w:rsid w:val="00614E0C"/>
    <w:rsid w:val="00615404"/>
    <w:rsid w:val="00615D62"/>
    <w:rsid w:val="00616926"/>
    <w:rsid w:val="00617770"/>
    <w:rsid w:val="00620777"/>
    <w:rsid w:val="00620FF3"/>
    <w:rsid w:val="00622460"/>
    <w:rsid w:val="00622743"/>
    <w:rsid w:val="00625225"/>
    <w:rsid w:val="006258CE"/>
    <w:rsid w:val="00626154"/>
    <w:rsid w:val="006270D6"/>
    <w:rsid w:val="00627302"/>
    <w:rsid w:val="00627886"/>
    <w:rsid w:val="0063041D"/>
    <w:rsid w:val="00631310"/>
    <w:rsid w:val="00633C18"/>
    <w:rsid w:val="0063532B"/>
    <w:rsid w:val="00636CA6"/>
    <w:rsid w:val="006378D8"/>
    <w:rsid w:val="00640641"/>
    <w:rsid w:val="00640AFB"/>
    <w:rsid w:val="00640C69"/>
    <w:rsid w:val="00641529"/>
    <w:rsid w:val="00641689"/>
    <w:rsid w:val="006422B4"/>
    <w:rsid w:val="006435F3"/>
    <w:rsid w:val="00643EC7"/>
    <w:rsid w:val="00646233"/>
    <w:rsid w:val="00646413"/>
    <w:rsid w:val="00646900"/>
    <w:rsid w:val="006471BA"/>
    <w:rsid w:val="00647619"/>
    <w:rsid w:val="006477DD"/>
    <w:rsid w:val="00647B71"/>
    <w:rsid w:val="00650429"/>
    <w:rsid w:val="006504AF"/>
    <w:rsid w:val="00651383"/>
    <w:rsid w:val="0065227E"/>
    <w:rsid w:val="00652C44"/>
    <w:rsid w:val="00652FC6"/>
    <w:rsid w:val="0065339A"/>
    <w:rsid w:val="0065416C"/>
    <w:rsid w:val="0065517D"/>
    <w:rsid w:val="006559CA"/>
    <w:rsid w:val="00661714"/>
    <w:rsid w:val="00663EC0"/>
    <w:rsid w:val="0066670E"/>
    <w:rsid w:val="00666BF7"/>
    <w:rsid w:val="00671115"/>
    <w:rsid w:val="006726E4"/>
    <w:rsid w:val="00672DBB"/>
    <w:rsid w:val="00673033"/>
    <w:rsid w:val="00673C18"/>
    <w:rsid w:val="0067563C"/>
    <w:rsid w:val="00676678"/>
    <w:rsid w:val="00680641"/>
    <w:rsid w:val="00681DDE"/>
    <w:rsid w:val="00681E44"/>
    <w:rsid w:val="00683D8B"/>
    <w:rsid w:val="0068436F"/>
    <w:rsid w:val="00684841"/>
    <w:rsid w:val="00686505"/>
    <w:rsid w:val="006868D9"/>
    <w:rsid w:val="00686A91"/>
    <w:rsid w:val="00687497"/>
    <w:rsid w:val="0068775E"/>
    <w:rsid w:val="00690232"/>
    <w:rsid w:val="00690C98"/>
    <w:rsid w:val="00691C0A"/>
    <w:rsid w:val="006929F4"/>
    <w:rsid w:val="00692BC4"/>
    <w:rsid w:val="00693B7D"/>
    <w:rsid w:val="00695417"/>
    <w:rsid w:val="00695D00"/>
    <w:rsid w:val="00696F19"/>
    <w:rsid w:val="00697551"/>
    <w:rsid w:val="006A206F"/>
    <w:rsid w:val="006A2492"/>
    <w:rsid w:val="006A3527"/>
    <w:rsid w:val="006A3ECA"/>
    <w:rsid w:val="006A45B3"/>
    <w:rsid w:val="006A7085"/>
    <w:rsid w:val="006A78A4"/>
    <w:rsid w:val="006B01EE"/>
    <w:rsid w:val="006B1493"/>
    <w:rsid w:val="006B1CB2"/>
    <w:rsid w:val="006B1F76"/>
    <w:rsid w:val="006B3EC6"/>
    <w:rsid w:val="006B71CD"/>
    <w:rsid w:val="006C0E6B"/>
    <w:rsid w:val="006C4138"/>
    <w:rsid w:val="006C452F"/>
    <w:rsid w:val="006C4CE3"/>
    <w:rsid w:val="006C4F96"/>
    <w:rsid w:val="006C62DE"/>
    <w:rsid w:val="006C6E6F"/>
    <w:rsid w:val="006C7628"/>
    <w:rsid w:val="006C7B6B"/>
    <w:rsid w:val="006D250A"/>
    <w:rsid w:val="006D4E71"/>
    <w:rsid w:val="006D5277"/>
    <w:rsid w:val="006D5E16"/>
    <w:rsid w:val="006E0EDA"/>
    <w:rsid w:val="006E16E2"/>
    <w:rsid w:val="006E1EB2"/>
    <w:rsid w:val="006E1F60"/>
    <w:rsid w:val="006E36D5"/>
    <w:rsid w:val="006E4995"/>
    <w:rsid w:val="006E64DC"/>
    <w:rsid w:val="006E67FA"/>
    <w:rsid w:val="006E7405"/>
    <w:rsid w:val="006E7671"/>
    <w:rsid w:val="006E7B23"/>
    <w:rsid w:val="006F07B0"/>
    <w:rsid w:val="006F2C00"/>
    <w:rsid w:val="006F3786"/>
    <w:rsid w:val="006F3DBD"/>
    <w:rsid w:val="006F45A7"/>
    <w:rsid w:val="006F4B76"/>
    <w:rsid w:val="006F52E6"/>
    <w:rsid w:val="006F59FE"/>
    <w:rsid w:val="006F7CA0"/>
    <w:rsid w:val="00702394"/>
    <w:rsid w:val="00702B07"/>
    <w:rsid w:val="0070363F"/>
    <w:rsid w:val="0070539E"/>
    <w:rsid w:val="00705B8E"/>
    <w:rsid w:val="00705E75"/>
    <w:rsid w:val="00705F9C"/>
    <w:rsid w:val="00706FD3"/>
    <w:rsid w:val="00707315"/>
    <w:rsid w:val="00707BC2"/>
    <w:rsid w:val="0071070E"/>
    <w:rsid w:val="00710BC2"/>
    <w:rsid w:val="00710D0F"/>
    <w:rsid w:val="00710FCB"/>
    <w:rsid w:val="00711CBD"/>
    <w:rsid w:val="0071228B"/>
    <w:rsid w:val="0071390E"/>
    <w:rsid w:val="00713AE3"/>
    <w:rsid w:val="00714995"/>
    <w:rsid w:val="00715122"/>
    <w:rsid w:val="00716A31"/>
    <w:rsid w:val="007212C0"/>
    <w:rsid w:val="00722362"/>
    <w:rsid w:val="0072350D"/>
    <w:rsid w:val="0072455C"/>
    <w:rsid w:val="007250C5"/>
    <w:rsid w:val="00725748"/>
    <w:rsid w:val="00725B5A"/>
    <w:rsid w:val="00731832"/>
    <w:rsid w:val="00734569"/>
    <w:rsid w:val="00735CBB"/>
    <w:rsid w:val="00736161"/>
    <w:rsid w:val="00737A74"/>
    <w:rsid w:val="00740C03"/>
    <w:rsid w:val="007416C9"/>
    <w:rsid w:val="00741EC0"/>
    <w:rsid w:val="00742128"/>
    <w:rsid w:val="007446B8"/>
    <w:rsid w:val="00744F04"/>
    <w:rsid w:val="0074527E"/>
    <w:rsid w:val="00746800"/>
    <w:rsid w:val="00750645"/>
    <w:rsid w:val="00750C14"/>
    <w:rsid w:val="00750E7E"/>
    <w:rsid w:val="00750FDB"/>
    <w:rsid w:val="0075104B"/>
    <w:rsid w:val="00751B03"/>
    <w:rsid w:val="00751B82"/>
    <w:rsid w:val="00751C07"/>
    <w:rsid w:val="00752553"/>
    <w:rsid w:val="00752A24"/>
    <w:rsid w:val="0075383D"/>
    <w:rsid w:val="00753C75"/>
    <w:rsid w:val="0075447D"/>
    <w:rsid w:val="0075469E"/>
    <w:rsid w:val="00754761"/>
    <w:rsid w:val="007565AA"/>
    <w:rsid w:val="00760DD3"/>
    <w:rsid w:val="00762C1E"/>
    <w:rsid w:val="00762CAC"/>
    <w:rsid w:val="00763056"/>
    <w:rsid w:val="00763B6E"/>
    <w:rsid w:val="00764DDB"/>
    <w:rsid w:val="007679B2"/>
    <w:rsid w:val="007714DB"/>
    <w:rsid w:val="00772183"/>
    <w:rsid w:val="00772313"/>
    <w:rsid w:val="00772764"/>
    <w:rsid w:val="00772AE4"/>
    <w:rsid w:val="00775F24"/>
    <w:rsid w:val="00776C1B"/>
    <w:rsid w:val="00780634"/>
    <w:rsid w:val="00781F3C"/>
    <w:rsid w:val="007838BF"/>
    <w:rsid w:val="00783C6F"/>
    <w:rsid w:val="00784964"/>
    <w:rsid w:val="00785D07"/>
    <w:rsid w:val="0078636E"/>
    <w:rsid w:val="00786725"/>
    <w:rsid w:val="007874CE"/>
    <w:rsid w:val="00791593"/>
    <w:rsid w:val="007917BE"/>
    <w:rsid w:val="007919DC"/>
    <w:rsid w:val="00791A82"/>
    <w:rsid w:val="0079267B"/>
    <w:rsid w:val="00792F65"/>
    <w:rsid w:val="00795817"/>
    <w:rsid w:val="0079589E"/>
    <w:rsid w:val="00795CE4"/>
    <w:rsid w:val="00796F08"/>
    <w:rsid w:val="00797ED2"/>
    <w:rsid w:val="007A0115"/>
    <w:rsid w:val="007A061A"/>
    <w:rsid w:val="007A08D9"/>
    <w:rsid w:val="007A21BF"/>
    <w:rsid w:val="007A2EB8"/>
    <w:rsid w:val="007A35F3"/>
    <w:rsid w:val="007A4771"/>
    <w:rsid w:val="007A5D02"/>
    <w:rsid w:val="007A62B5"/>
    <w:rsid w:val="007A6599"/>
    <w:rsid w:val="007A6D55"/>
    <w:rsid w:val="007A7106"/>
    <w:rsid w:val="007A7244"/>
    <w:rsid w:val="007A73F6"/>
    <w:rsid w:val="007B0911"/>
    <w:rsid w:val="007B1719"/>
    <w:rsid w:val="007B3FB9"/>
    <w:rsid w:val="007B4576"/>
    <w:rsid w:val="007B50CE"/>
    <w:rsid w:val="007B55DA"/>
    <w:rsid w:val="007B6A08"/>
    <w:rsid w:val="007B6C3B"/>
    <w:rsid w:val="007C0FC1"/>
    <w:rsid w:val="007C1357"/>
    <w:rsid w:val="007C267E"/>
    <w:rsid w:val="007C3A9F"/>
    <w:rsid w:val="007C3F1C"/>
    <w:rsid w:val="007C49F0"/>
    <w:rsid w:val="007C4EC6"/>
    <w:rsid w:val="007C5183"/>
    <w:rsid w:val="007C541B"/>
    <w:rsid w:val="007C59C4"/>
    <w:rsid w:val="007C5FE9"/>
    <w:rsid w:val="007D0B2F"/>
    <w:rsid w:val="007D11D0"/>
    <w:rsid w:val="007D2808"/>
    <w:rsid w:val="007D4253"/>
    <w:rsid w:val="007D4300"/>
    <w:rsid w:val="007D60B0"/>
    <w:rsid w:val="007D6AA1"/>
    <w:rsid w:val="007D7EDC"/>
    <w:rsid w:val="007E3E18"/>
    <w:rsid w:val="007E5512"/>
    <w:rsid w:val="007E634D"/>
    <w:rsid w:val="007E653D"/>
    <w:rsid w:val="007E6B72"/>
    <w:rsid w:val="007E706C"/>
    <w:rsid w:val="007E79B1"/>
    <w:rsid w:val="007F2C75"/>
    <w:rsid w:val="007F4861"/>
    <w:rsid w:val="007F69A5"/>
    <w:rsid w:val="007F71C1"/>
    <w:rsid w:val="007F7C28"/>
    <w:rsid w:val="00800767"/>
    <w:rsid w:val="00800CBD"/>
    <w:rsid w:val="00801125"/>
    <w:rsid w:val="0080254D"/>
    <w:rsid w:val="0080327F"/>
    <w:rsid w:val="008038EA"/>
    <w:rsid w:val="00803DCB"/>
    <w:rsid w:val="008053C7"/>
    <w:rsid w:val="00807567"/>
    <w:rsid w:val="00807653"/>
    <w:rsid w:val="008076AF"/>
    <w:rsid w:val="008110C4"/>
    <w:rsid w:val="00812C3C"/>
    <w:rsid w:val="00812C4F"/>
    <w:rsid w:val="00814491"/>
    <w:rsid w:val="008172A8"/>
    <w:rsid w:val="00817A8B"/>
    <w:rsid w:val="00820DC5"/>
    <w:rsid w:val="00822FC2"/>
    <w:rsid w:val="008236CE"/>
    <w:rsid w:val="00824044"/>
    <w:rsid w:val="0082558B"/>
    <w:rsid w:val="00826D13"/>
    <w:rsid w:val="008272E0"/>
    <w:rsid w:val="00827C2B"/>
    <w:rsid w:val="008351AD"/>
    <w:rsid w:val="00836BDB"/>
    <w:rsid w:val="0084059A"/>
    <w:rsid w:val="008407E9"/>
    <w:rsid w:val="00840A6A"/>
    <w:rsid w:val="00840BAB"/>
    <w:rsid w:val="00843A56"/>
    <w:rsid w:val="00847106"/>
    <w:rsid w:val="0084726E"/>
    <w:rsid w:val="008475F8"/>
    <w:rsid w:val="00847A5D"/>
    <w:rsid w:val="00850758"/>
    <w:rsid w:val="00851E99"/>
    <w:rsid w:val="00852B93"/>
    <w:rsid w:val="00853B03"/>
    <w:rsid w:val="00853C4B"/>
    <w:rsid w:val="00853E55"/>
    <w:rsid w:val="008559CE"/>
    <w:rsid w:val="00856DD2"/>
    <w:rsid w:val="00857BED"/>
    <w:rsid w:val="008603AE"/>
    <w:rsid w:val="008616BB"/>
    <w:rsid w:val="00861C00"/>
    <w:rsid w:val="00863617"/>
    <w:rsid w:val="00864764"/>
    <w:rsid w:val="008647A4"/>
    <w:rsid w:val="00865740"/>
    <w:rsid w:val="00866489"/>
    <w:rsid w:val="00866B1D"/>
    <w:rsid w:val="00866BC4"/>
    <w:rsid w:val="0086722C"/>
    <w:rsid w:val="00867FC5"/>
    <w:rsid w:val="00870FA1"/>
    <w:rsid w:val="00872899"/>
    <w:rsid w:val="00874202"/>
    <w:rsid w:val="0087437D"/>
    <w:rsid w:val="0087451E"/>
    <w:rsid w:val="008748E1"/>
    <w:rsid w:val="00875886"/>
    <w:rsid w:val="008763BB"/>
    <w:rsid w:val="008764B4"/>
    <w:rsid w:val="00877593"/>
    <w:rsid w:val="00880B7C"/>
    <w:rsid w:val="00883A03"/>
    <w:rsid w:val="00884CE9"/>
    <w:rsid w:val="00887351"/>
    <w:rsid w:val="00892723"/>
    <w:rsid w:val="00893054"/>
    <w:rsid w:val="008946B9"/>
    <w:rsid w:val="008957B5"/>
    <w:rsid w:val="008969E8"/>
    <w:rsid w:val="008A1DCE"/>
    <w:rsid w:val="008A1FAB"/>
    <w:rsid w:val="008A26AF"/>
    <w:rsid w:val="008A37B2"/>
    <w:rsid w:val="008A4345"/>
    <w:rsid w:val="008A4380"/>
    <w:rsid w:val="008A43DA"/>
    <w:rsid w:val="008A48B7"/>
    <w:rsid w:val="008A4D49"/>
    <w:rsid w:val="008A5962"/>
    <w:rsid w:val="008A5D2A"/>
    <w:rsid w:val="008A6848"/>
    <w:rsid w:val="008B021C"/>
    <w:rsid w:val="008B3E0F"/>
    <w:rsid w:val="008B4024"/>
    <w:rsid w:val="008B56EB"/>
    <w:rsid w:val="008B5C0A"/>
    <w:rsid w:val="008B5EDC"/>
    <w:rsid w:val="008B6A7D"/>
    <w:rsid w:val="008B7377"/>
    <w:rsid w:val="008B7CF8"/>
    <w:rsid w:val="008B7EA7"/>
    <w:rsid w:val="008C1368"/>
    <w:rsid w:val="008C1F15"/>
    <w:rsid w:val="008C3FAA"/>
    <w:rsid w:val="008C4523"/>
    <w:rsid w:val="008C5D36"/>
    <w:rsid w:val="008D0524"/>
    <w:rsid w:val="008D1115"/>
    <w:rsid w:val="008D3486"/>
    <w:rsid w:val="008D349F"/>
    <w:rsid w:val="008D428B"/>
    <w:rsid w:val="008D5666"/>
    <w:rsid w:val="008D5F84"/>
    <w:rsid w:val="008D6950"/>
    <w:rsid w:val="008E0EDA"/>
    <w:rsid w:val="008E1855"/>
    <w:rsid w:val="008E1BB8"/>
    <w:rsid w:val="008E2CFC"/>
    <w:rsid w:val="008E40E8"/>
    <w:rsid w:val="008E55D6"/>
    <w:rsid w:val="008E5D46"/>
    <w:rsid w:val="008E68D3"/>
    <w:rsid w:val="008E7F8D"/>
    <w:rsid w:val="008F00D9"/>
    <w:rsid w:val="008F0B02"/>
    <w:rsid w:val="008F0D5D"/>
    <w:rsid w:val="008F27EF"/>
    <w:rsid w:val="008F297A"/>
    <w:rsid w:val="008F2B25"/>
    <w:rsid w:val="008F2C7C"/>
    <w:rsid w:val="008F39DC"/>
    <w:rsid w:val="008F3DB6"/>
    <w:rsid w:val="008F46C3"/>
    <w:rsid w:val="008F5046"/>
    <w:rsid w:val="008F57E5"/>
    <w:rsid w:val="008F57FF"/>
    <w:rsid w:val="008F5A30"/>
    <w:rsid w:val="008F6381"/>
    <w:rsid w:val="008F71ED"/>
    <w:rsid w:val="00903939"/>
    <w:rsid w:val="00903B3F"/>
    <w:rsid w:val="009049E7"/>
    <w:rsid w:val="00904F56"/>
    <w:rsid w:val="00904F67"/>
    <w:rsid w:val="00906994"/>
    <w:rsid w:val="0090704E"/>
    <w:rsid w:val="009070C3"/>
    <w:rsid w:val="00907B0B"/>
    <w:rsid w:val="00907C63"/>
    <w:rsid w:val="00907DD2"/>
    <w:rsid w:val="009100CB"/>
    <w:rsid w:val="00910A75"/>
    <w:rsid w:val="00910B41"/>
    <w:rsid w:val="00911583"/>
    <w:rsid w:val="00912E91"/>
    <w:rsid w:val="0091686A"/>
    <w:rsid w:val="00920314"/>
    <w:rsid w:val="009207BB"/>
    <w:rsid w:val="00921935"/>
    <w:rsid w:val="00921BE4"/>
    <w:rsid w:val="00923977"/>
    <w:rsid w:val="0092530B"/>
    <w:rsid w:val="00925882"/>
    <w:rsid w:val="00925F13"/>
    <w:rsid w:val="00926382"/>
    <w:rsid w:val="00927238"/>
    <w:rsid w:val="00930064"/>
    <w:rsid w:val="0093078B"/>
    <w:rsid w:val="00930B73"/>
    <w:rsid w:val="00931304"/>
    <w:rsid w:val="00931EB6"/>
    <w:rsid w:val="009321C5"/>
    <w:rsid w:val="00933734"/>
    <w:rsid w:val="00933BC5"/>
    <w:rsid w:val="00934179"/>
    <w:rsid w:val="00934B1C"/>
    <w:rsid w:val="00934C4D"/>
    <w:rsid w:val="00935D5A"/>
    <w:rsid w:val="00935D8F"/>
    <w:rsid w:val="009407B7"/>
    <w:rsid w:val="00940A91"/>
    <w:rsid w:val="00940B8F"/>
    <w:rsid w:val="009453CD"/>
    <w:rsid w:val="009456AA"/>
    <w:rsid w:val="00950C10"/>
    <w:rsid w:val="00950E91"/>
    <w:rsid w:val="009517A5"/>
    <w:rsid w:val="00952662"/>
    <w:rsid w:val="00952A00"/>
    <w:rsid w:val="0095355F"/>
    <w:rsid w:val="00953717"/>
    <w:rsid w:val="00953B16"/>
    <w:rsid w:val="009557B3"/>
    <w:rsid w:val="00956A01"/>
    <w:rsid w:val="00960CE9"/>
    <w:rsid w:val="00961F95"/>
    <w:rsid w:val="00963210"/>
    <w:rsid w:val="00963E47"/>
    <w:rsid w:val="00965DFB"/>
    <w:rsid w:val="00965EE9"/>
    <w:rsid w:val="00966E59"/>
    <w:rsid w:val="00971A3F"/>
    <w:rsid w:val="00972948"/>
    <w:rsid w:val="00972EC6"/>
    <w:rsid w:val="00975FBC"/>
    <w:rsid w:val="00976C90"/>
    <w:rsid w:val="009775A0"/>
    <w:rsid w:val="00980358"/>
    <w:rsid w:val="00980EB8"/>
    <w:rsid w:val="00981093"/>
    <w:rsid w:val="009814B0"/>
    <w:rsid w:val="009828B9"/>
    <w:rsid w:val="00982FE5"/>
    <w:rsid w:val="00983099"/>
    <w:rsid w:val="00984F33"/>
    <w:rsid w:val="00985322"/>
    <w:rsid w:val="00986227"/>
    <w:rsid w:val="009863F0"/>
    <w:rsid w:val="009869B2"/>
    <w:rsid w:val="00987A24"/>
    <w:rsid w:val="009913F6"/>
    <w:rsid w:val="009935C4"/>
    <w:rsid w:val="00993DF5"/>
    <w:rsid w:val="00994547"/>
    <w:rsid w:val="00995BBA"/>
    <w:rsid w:val="00995D9C"/>
    <w:rsid w:val="00996DA1"/>
    <w:rsid w:val="00997001"/>
    <w:rsid w:val="009974DF"/>
    <w:rsid w:val="009A042A"/>
    <w:rsid w:val="009A0B96"/>
    <w:rsid w:val="009A0D20"/>
    <w:rsid w:val="009A341F"/>
    <w:rsid w:val="009A384E"/>
    <w:rsid w:val="009A3C6F"/>
    <w:rsid w:val="009A4AB3"/>
    <w:rsid w:val="009A5470"/>
    <w:rsid w:val="009A5D9D"/>
    <w:rsid w:val="009A5F5F"/>
    <w:rsid w:val="009A7627"/>
    <w:rsid w:val="009A7AE8"/>
    <w:rsid w:val="009B050C"/>
    <w:rsid w:val="009B208B"/>
    <w:rsid w:val="009B2CF8"/>
    <w:rsid w:val="009B483B"/>
    <w:rsid w:val="009B61A6"/>
    <w:rsid w:val="009B6F9B"/>
    <w:rsid w:val="009C07CC"/>
    <w:rsid w:val="009C1F2F"/>
    <w:rsid w:val="009C2510"/>
    <w:rsid w:val="009C5BD5"/>
    <w:rsid w:val="009C6953"/>
    <w:rsid w:val="009C721F"/>
    <w:rsid w:val="009D07B0"/>
    <w:rsid w:val="009D1AEF"/>
    <w:rsid w:val="009D3DE6"/>
    <w:rsid w:val="009D5FB0"/>
    <w:rsid w:val="009D644C"/>
    <w:rsid w:val="009D6825"/>
    <w:rsid w:val="009D6EEF"/>
    <w:rsid w:val="009E097A"/>
    <w:rsid w:val="009E1D5E"/>
    <w:rsid w:val="009E251B"/>
    <w:rsid w:val="009E3470"/>
    <w:rsid w:val="009E378D"/>
    <w:rsid w:val="009E3E7D"/>
    <w:rsid w:val="009E59CC"/>
    <w:rsid w:val="009F2679"/>
    <w:rsid w:val="009F2C21"/>
    <w:rsid w:val="009F427A"/>
    <w:rsid w:val="009F4AC1"/>
    <w:rsid w:val="009F4E30"/>
    <w:rsid w:val="009F4F63"/>
    <w:rsid w:val="009F5805"/>
    <w:rsid w:val="009F644B"/>
    <w:rsid w:val="009F6803"/>
    <w:rsid w:val="00A00B47"/>
    <w:rsid w:val="00A00CD8"/>
    <w:rsid w:val="00A0142D"/>
    <w:rsid w:val="00A02112"/>
    <w:rsid w:val="00A03B04"/>
    <w:rsid w:val="00A06475"/>
    <w:rsid w:val="00A066A4"/>
    <w:rsid w:val="00A066C2"/>
    <w:rsid w:val="00A10024"/>
    <w:rsid w:val="00A10200"/>
    <w:rsid w:val="00A10600"/>
    <w:rsid w:val="00A10DC9"/>
    <w:rsid w:val="00A11063"/>
    <w:rsid w:val="00A12BA6"/>
    <w:rsid w:val="00A134D5"/>
    <w:rsid w:val="00A14A64"/>
    <w:rsid w:val="00A14B72"/>
    <w:rsid w:val="00A14BE4"/>
    <w:rsid w:val="00A20345"/>
    <w:rsid w:val="00A20F37"/>
    <w:rsid w:val="00A21A6A"/>
    <w:rsid w:val="00A2213C"/>
    <w:rsid w:val="00A22F65"/>
    <w:rsid w:val="00A255DD"/>
    <w:rsid w:val="00A25EFB"/>
    <w:rsid w:val="00A27519"/>
    <w:rsid w:val="00A31703"/>
    <w:rsid w:val="00A32801"/>
    <w:rsid w:val="00A33646"/>
    <w:rsid w:val="00A33D57"/>
    <w:rsid w:val="00A33E5A"/>
    <w:rsid w:val="00A34A96"/>
    <w:rsid w:val="00A34DCE"/>
    <w:rsid w:val="00A36830"/>
    <w:rsid w:val="00A36A4A"/>
    <w:rsid w:val="00A375F8"/>
    <w:rsid w:val="00A37C64"/>
    <w:rsid w:val="00A40007"/>
    <w:rsid w:val="00A40016"/>
    <w:rsid w:val="00A41696"/>
    <w:rsid w:val="00A43F9B"/>
    <w:rsid w:val="00A44449"/>
    <w:rsid w:val="00A45F05"/>
    <w:rsid w:val="00A464D6"/>
    <w:rsid w:val="00A50989"/>
    <w:rsid w:val="00A51829"/>
    <w:rsid w:val="00A5192A"/>
    <w:rsid w:val="00A52727"/>
    <w:rsid w:val="00A52B67"/>
    <w:rsid w:val="00A52FD0"/>
    <w:rsid w:val="00A548D4"/>
    <w:rsid w:val="00A57702"/>
    <w:rsid w:val="00A60638"/>
    <w:rsid w:val="00A6281A"/>
    <w:rsid w:val="00A63A82"/>
    <w:rsid w:val="00A64FBE"/>
    <w:rsid w:val="00A65C5D"/>
    <w:rsid w:val="00A65D21"/>
    <w:rsid w:val="00A66117"/>
    <w:rsid w:val="00A670CD"/>
    <w:rsid w:val="00A674D3"/>
    <w:rsid w:val="00A70D27"/>
    <w:rsid w:val="00A71855"/>
    <w:rsid w:val="00A718E6"/>
    <w:rsid w:val="00A71CD3"/>
    <w:rsid w:val="00A7256E"/>
    <w:rsid w:val="00A72CCA"/>
    <w:rsid w:val="00A746EF"/>
    <w:rsid w:val="00A75DA8"/>
    <w:rsid w:val="00A761F6"/>
    <w:rsid w:val="00A77653"/>
    <w:rsid w:val="00A778B4"/>
    <w:rsid w:val="00A77F53"/>
    <w:rsid w:val="00A80F56"/>
    <w:rsid w:val="00A812DA"/>
    <w:rsid w:val="00A81AF0"/>
    <w:rsid w:val="00A820A8"/>
    <w:rsid w:val="00A82CC6"/>
    <w:rsid w:val="00A8391C"/>
    <w:rsid w:val="00A84564"/>
    <w:rsid w:val="00A86B1C"/>
    <w:rsid w:val="00A86D1B"/>
    <w:rsid w:val="00A914AC"/>
    <w:rsid w:val="00A92D5E"/>
    <w:rsid w:val="00A93E48"/>
    <w:rsid w:val="00A94521"/>
    <w:rsid w:val="00A95349"/>
    <w:rsid w:val="00A96126"/>
    <w:rsid w:val="00A9682B"/>
    <w:rsid w:val="00A977BD"/>
    <w:rsid w:val="00AA2954"/>
    <w:rsid w:val="00AA38A3"/>
    <w:rsid w:val="00AA4365"/>
    <w:rsid w:val="00AA44A3"/>
    <w:rsid w:val="00AA4B68"/>
    <w:rsid w:val="00AA54F8"/>
    <w:rsid w:val="00AA64CC"/>
    <w:rsid w:val="00AB0C19"/>
    <w:rsid w:val="00AB113E"/>
    <w:rsid w:val="00AB58AE"/>
    <w:rsid w:val="00AB58B6"/>
    <w:rsid w:val="00AC132E"/>
    <w:rsid w:val="00AC1A13"/>
    <w:rsid w:val="00AC4261"/>
    <w:rsid w:val="00AC635A"/>
    <w:rsid w:val="00AC6D32"/>
    <w:rsid w:val="00AC7B98"/>
    <w:rsid w:val="00AD1403"/>
    <w:rsid w:val="00AD1C6F"/>
    <w:rsid w:val="00AD1F78"/>
    <w:rsid w:val="00AD51E9"/>
    <w:rsid w:val="00AD63C5"/>
    <w:rsid w:val="00AD6B9A"/>
    <w:rsid w:val="00AD6E57"/>
    <w:rsid w:val="00AD6FE7"/>
    <w:rsid w:val="00AE02C4"/>
    <w:rsid w:val="00AE16B1"/>
    <w:rsid w:val="00AE2762"/>
    <w:rsid w:val="00AE4467"/>
    <w:rsid w:val="00AE5D3C"/>
    <w:rsid w:val="00AE5E71"/>
    <w:rsid w:val="00AE71A0"/>
    <w:rsid w:val="00AE7932"/>
    <w:rsid w:val="00AF08B8"/>
    <w:rsid w:val="00AF0921"/>
    <w:rsid w:val="00AF0B41"/>
    <w:rsid w:val="00AF0E60"/>
    <w:rsid w:val="00AF12B8"/>
    <w:rsid w:val="00AF1580"/>
    <w:rsid w:val="00AF159C"/>
    <w:rsid w:val="00AF28DF"/>
    <w:rsid w:val="00AF4726"/>
    <w:rsid w:val="00AF48C1"/>
    <w:rsid w:val="00AF5EEF"/>
    <w:rsid w:val="00AF6E06"/>
    <w:rsid w:val="00B01DCA"/>
    <w:rsid w:val="00B01EE7"/>
    <w:rsid w:val="00B022B7"/>
    <w:rsid w:val="00B02C0E"/>
    <w:rsid w:val="00B033B4"/>
    <w:rsid w:val="00B03DCB"/>
    <w:rsid w:val="00B04BD9"/>
    <w:rsid w:val="00B0570F"/>
    <w:rsid w:val="00B061EE"/>
    <w:rsid w:val="00B068CB"/>
    <w:rsid w:val="00B06C3A"/>
    <w:rsid w:val="00B1202C"/>
    <w:rsid w:val="00B1313C"/>
    <w:rsid w:val="00B13179"/>
    <w:rsid w:val="00B1406C"/>
    <w:rsid w:val="00B17D23"/>
    <w:rsid w:val="00B21430"/>
    <w:rsid w:val="00B22872"/>
    <w:rsid w:val="00B241EA"/>
    <w:rsid w:val="00B244D8"/>
    <w:rsid w:val="00B24CEB"/>
    <w:rsid w:val="00B250C3"/>
    <w:rsid w:val="00B25EE1"/>
    <w:rsid w:val="00B26C6E"/>
    <w:rsid w:val="00B27739"/>
    <w:rsid w:val="00B27D65"/>
    <w:rsid w:val="00B27E9C"/>
    <w:rsid w:val="00B307BA"/>
    <w:rsid w:val="00B32171"/>
    <w:rsid w:val="00B3243B"/>
    <w:rsid w:val="00B32602"/>
    <w:rsid w:val="00B327E8"/>
    <w:rsid w:val="00B32A42"/>
    <w:rsid w:val="00B32A86"/>
    <w:rsid w:val="00B33D53"/>
    <w:rsid w:val="00B34FAB"/>
    <w:rsid w:val="00B37410"/>
    <w:rsid w:val="00B40FEA"/>
    <w:rsid w:val="00B4202F"/>
    <w:rsid w:val="00B42146"/>
    <w:rsid w:val="00B42940"/>
    <w:rsid w:val="00B4356D"/>
    <w:rsid w:val="00B43F91"/>
    <w:rsid w:val="00B465FF"/>
    <w:rsid w:val="00B501A4"/>
    <w:rsid w:val="00B5043A"/>
    <w:rsid w:val="00B513B7"/>
    <w:rsid w:val="00B5261F"/>
    <w:rsid w:val="00B53700"/>
    <w:rsid w:val="00B539A8"/>
    <w:rsid w:val="00B53ACD"/>
    <w:rsid w:val="00B54B59"/>
    <w:rsid w:val="00B54E39"/>
    <w:rsid w:val="00B555E9"/>
    <w:rsid w:val="00B56156"/>
    <w:rsid w:val="00B562D3"/>
    <w:rsid w:val="00B616A8"/>
    <w:rsid w:val="00B61FD0"/>
    <w:rsid w:val="00B62762"/>
    <w:rsid w:val="00B63E72"/>
    <w:rsid w:val="00B63FAB"/>
    <w:rsid w:val="00B651EF"/>
    <w:rsid w:val="00B653A5"/>
    <w:rsid w:val="00B65B7B"/>
    <w:rsid w:val="00B6703E"/>
    <w:rsid w:val="00B67392"/>
    <w:rsid w:val="00B72516"/>
    <w:rsid w:val="00B7254A"/>
    <w:rsid w:val="00B7330A"/>
    <w:rsid w:val="00B74EF6"/>
    <w:rsid w:val="00B7551A"/>
    <w:rsid w:val="00B755E3"/>
    <w:rsid w:val="00B75E16"/>
    <w:rsid w:val="00B7691E"/>
    <w:rsid w:val="00B770DC"/>
    <w:rsid w:val="00B77A36"/>
    <w:rsid w:val="00B77D74"/>
    <w:rsid w:val="00B80F73"/>
    <w:rsid w:val="00B81219"/>
    <w:rsid w:val="00B81282"/>
    <w:rsid w:val="00B822C8"/>
    <w:rsid w:val="00B82513"/>
    <w:rsid w:val="00B84D11"/>
    <w:rsid w:val="00B85DE6"/>
    <w:rsid w:val="00B8669B"/>
    <w:rsid w:val="00B86C67"/>
    <w:rsid w:val="00B87CF8"/>
    <w:rsid w:val="00B87E05"/>
    <w:rsid w:val="00B9302A"/>
    <w:rsid w:val="00B932D2"/>
    <w:rsid w:val="00B94CBE"/>
    <w:rsid w:val="00B96C3F"/>
    <w:rsid w:val="00B97FC6"/>
    <w:rsid w:val="00BA00A8"/>
    <w:rsid w:val="00BA20A3"/>
    <w:rsid w:val="00BA2591"/>
    <w:rsid w:val="00BA36A6"/>
    <w:rsid w:val="00BA54B5"/>
    <w:rsid w:val="00BA7932"/>
    <w:rsid w:val="00BA7C97"/>
    <w:rsid w:val="00BB0819"/>
    <w:rsid w:val="00BB1A58"/>
    <w:rsid w:val="00BB4634"/>
    <w:rsid w:val="00BB46C6"/>
    <w:rsid w:val="00BB62B9"/>
    <w:rsid w:val="00BB6572"/>
    <w:rsid w:val="00BB6BC7"/>
    <w:rsid w:val="00BB6D8C"/>
    <w:rsid w:val="00BB70BC"/>
    <w:rsid w:val="00BC0775"/>
    <w:rsid w:val="00BC23D8"/>
    <w:rsid w:val="00BC273B"/>
    <w:rsid w:val="00BC313D"/>
    <w:rsid w:val="00BC3229"/>
    <w:rsid w:val="00BC38B6"/>
    <w:rsid w:val="00BC3E52"/>
    <w:rsid w:val="00BC7033"/>
    <w:rsid w:val="00BD073A"/>
    <w:rsid w:val="00BD10E3"/>
    <w:rsid w:val="00BD1154"/>
    <w:rsid w:val="00BD129E"/>
    <w:rsid w:val="00BD7892"/>
    <w:rsid w:val="00BE0223"/>
    <w:rsid w:val="00BE0484"/>
    <w:rsid w:val="00BE0C9C"/>
    <w:rsid w:val="00BE131A"/>
    <w:rsid w:val="00BE1846"/>
    <w:rsid w:val="00BE2135"/>
    <w:rsid w:val="00BE29B1"/>
    <w:rsid w:val="00BE31F9"/>
    <w:rsid w:val="00BE36A5"/>
    <w:rsid w:val="00BE5C2E"/>
    <w:rsid w:val="00BF0E4B"/>
    <w:rsid w:val="00BF127E"/>
    <w:rsid w:val="00BF1E27"/>
    <w:rsid w:val="00BF30B2"/>
    <w:rsid w:val="00BF31BC"/>
    <w:rsid w:val="00BF3D63"/>
    <w:rsid w:val="00BF4265"/>
    <w:rsid w:val="00BF4FE9"/>
    <w:rsid w:val="00BF64D4"/>
    <w:rsid w:val="00BF6612"/>
    <w:rsid w:val="00C00629"/>
    <w:rsid w:val="00C01903"/>
    <w:rsid w:val="00C04153"/>
    <w:rsid w:val="00C0504A"/>
    <w:rsid w:val="00C0642A"/>
    <w:rsid w:val="00C072B3"/>
    <w:rsid w:val="00C126E8"/>
    <w:rsid w:val="00C12BB6"/>
    <w:rsid w:val="00C131F5"/>
    <w:rsid w:val="00C1348E"/>
    <w:rsid w:val="00C1442A"/>
    <w:rsid w:val="00C14DE7"/>
    <w:rsid w:val="00C155E1"/>
    <w:rsid w:val="00C15FC0"/>
    <w:rsid w:val="00C16937"/>
    <w:rsid w:val="00C16BB0"/>
    <w:rsid w:val="00C17466"/>
    <w:rsid w:val="00C17704"/>
    <w:rsid w:val="00C224CB"/>
    <w:rsid w:val="00C22555"/>
    <w:rsid w:val="00C261A4"/>
    <w:rsid w:val="00C26487"/>
    <w:rsid w:val="00C26547"/>
    <w:rsid w:val="00C3025A"/>
    <w:rsid w:val="00C303D7"/>
    <w:rsid w:val="00C31A89"/>
    <w:rsid w:val="00C31AFF"/>
    <w:rsid w:val="00C346FD"/>
    <w:rsid w:val="00C34D25"/>
    <w:rsid w:val="00C35807"/>
    <w:rsid w:val="00C405F9"/>
    <w:rsid w:val="00C41047"/>
    <w:rsid w:val="00C41175"/>
    <w:rsid w:val="00C420B7"/>
    <w:rsid w:val="00C42560"/>
    <w:rsid w:val="00C42950"/>
    <w:rsid w:val="00C43438"/>
    <w:rsid w:val="00C43CC1"/>
    <w:rsid w:val="00C4489C"/>
    <w:rsid w:val="00C45CA0"/>
    <w:rsid w:val="00C477D8"/>
    <w:rsid w:val="00C503E5"/>
    <w:rsid w:val="00C52085"/>
    <w:rsid w:val="00C52F62"/>
    <w:rsid w:val="00C53E1D"/>
    <w:rsid w:val="00C53ED3"/>
    <w:rsid w:val="00C54744"/>
    <w:rsid w:val="00C55963"/>
    <w:rsid w:val="00C55D1A"/>
    <w:rsid w:val="00C57230"/>
    <w:rsid w:val="00C57610"/>
    <w:rsid w:val="00C60536"/>
    <w:rsid w:val="00C608FF"/>
    <w:rsid w:val="00C616AF"/>
    <w:rsid w:val="00C63A69"/>
    <w:rsid w:val="00C65044"/>
    <w:rsid w:val="00C65516"/>
    <w:rsid w:val="00C67B74"/>
    <w:rsid w:val="00C67F35"/>
    <w:rsid w:val="00C70159"/>
    <w:rsid w:val="00C70A6A"/>
    <w:rsid w:val="00C70E9C"/>
    <w:rsid w:val="00C7161D"/>
    <w:rsid w:val="00C71C4E"/>
    <w:rsid w:val="00C7253C"/>
    <w:rsid w:val="00C727E2"/>
    <w:rsid w:val="00C73C13"/>
    <w:rsid w:val="00C74631"/>
    <w:rsid w:val="00C76087"/>
    <w:rsid w:val="00C771C1"/>
    <w:rsid w:val="00C777BB"/>
    <w:rsid w:val="00C77E37"/>
    <w:rsid w:val="00C800F9"/>
    <w:rsid w:val="00C801DA"/>
    <w:rsid w:val="00C82201"/>
    <w:rsid w:val="00C85116"/>
    <w:rsid w:val="00C90D5C"/>
    <w:rsid w:val="00C91470"/>
    <w:rsid w:val="00C91CB4"/>
    <w:rsid w:val="00C93DFC"/>
    <w:rsid w:val="00C93E75"/>
    <w:rsid w:val="00C942CB"/>
    <w:rsid w:val="00C945E2"/>
    <w:rsid w:val="00C9743C"/>
    <w:rsid w:val="00CA475D"/>
    <w:rsid w:val="00CA515E"/>
    <w:rsid w:val="00CA5308"/>
    <w:rsid w:val="00CA6A6B"/>
    <w:rsid w:val="00CA72ED"/>
    <w:rsid w:val="00CA7879"/>
    <w:rsid w:val="00CB014E"/>
    <w:rsid w:val="00CB032F"/>
    <w:rsid w:val="00CB0AB4"/>
    <w:rsid w:val="00CB0AD9"/>
    <w:rsid w:val="00CB0B9C"/>
    <w:rsid w:val="00CB1AA1"/>
    <w:rsid w:val="00CB29ED"/>
    <w:rsid w:val="00CB2ACB"/>
    <w:rsid w:val="00CB2C6E"/>
    <w:rsid w:val="00CB2EA3"/>
    <w:rsid w:val="00CB394B"/>
    <w:rsid w:val="00CB42B2"/>
    <w:rsid w:val="00CB52D9"/>
    <w:rsid w:val="00CB62CD"/>
    <w:rsid w:val="00CB6528"/>
    <w:rsid w:val="00CB67EB"/>
    <w:rsid w:val="00CB6B83"/>
    <w:rsid w:val="00CC318F"/>
    <w:rsid w:val="00CC31B5"/>
    <w:rsid w:val="00CC3F56"/>
    <w:rsid w:val="00CC3FD9"/>
    <w:rsid w:val="00CC4945"/>
    <w:rsid w:val="00CC5B77"/>
    <w:rsid w:val="00CC62E5"/>
    <w:rsid w:val="00CC68A8"/>
    <w:rsid w:val="00CC6CF9"/>
    <w:rsid w:val="00CC74E1"/>
    <w:rsid w:val="00CC7701"/>
    <w:rsid w:val="00CC7B8F"/>
    <w:rsid w:val="00CD055A"/>
    <w:rsid w:val="00CD0E22"/>
    <w:rsid w:val="00CD35C0"/>
    <w:rsid w:val="00CD377B"/>
    <w:rsid w:val="00CD381F"/>
    <w:rsid w:val="00CD5124"/>
    <w:rsid w:val="00CD542D"/>
    <w:rsid w:val="00CD5583"/>
    <w:rsid w:val="00CD56DC"/>
    <w:rsid w:val="00CD59A7"/>
    <w:rsid w:val="00CD7CF0"/>
    <w:rsid w:val="00CE02F6"/>
    <w:rsid w:val="00CE1DDB"/>
    <w:rsid w:val="00CE31EC"/>
    <w:rsid w:val="00CE57DC"/>
    <w:rsid w:val="00CE5944"/>
    <w:rsid w:val="00CE5F8D"/>
    <w:rsid w:val="00CF1916"/>
    <w:rsid w:val="00CF19B2"/>
    <w:rsid w:val="00CF3221"/>
    <w:rsid w:val="00CF3930"/>
    <w:rsid w:val="00CF3BD7"/>
    <w:rsid w:val="00CF5B35"/>
    <w:rsid w:val="00CF5F47"/>
    <w:rsid w:val="00CF67DF"/>
    <w:rsid w:val="00CF6F99"/>
    <w:rsid w:val="00CF78E4"/>
    <w:rsid w:val="00D002BB"/>
    <w:rsid w:val="00D02297"/>
    <w:rsid w:val="00D029D5"/>
    <w:rsid w:val="00D05A4A"/>
    <w:rsid w:val="00D05D08"/>
    <w:rsid w:val="00D06E09"/>
    <w:rsid w:val="00D077DB"/>
    <w:rsid w:val="00D07A4E"/>
    <w:rsid w:val="00D11E8D"/>
    <w:rsid w:val="00D11F3A"/>
    <w:rsid w:val="00D125EC"/>
    <w:rsid w:val="00D12B7A"/>
    <w:rsid w:val="00D134B7"/>
    <w:rsid w:val="00D1396D"/>
    <w:rsid w:val="00D1527E"/>
    <w:rsid w:val="00D1543D"/>
    <w:rsid w:val="00D15CD2"/>
    <w:rsid w:val="00D169DD"/>
    <w:rsid w:val="00D172CB"/>
    <w:rsid w:val="00D207A6"/>
    <w:rsid w:val="00D20904"/>
    <w:rsid w:val="00D209CB"/>
    <w:rsid w:val="00D20E40"/>
    <w:rsid w:val="00D2195E"/>
    <w:rsid w:val="00D21CA2"/>
    <w:rsid w:val="00D23416"/>
    <w:rsid w:val="00D2496E"/>
    <w:rsid w:val="00D2568D"/>
    <w:rsid w:val="00D263E7"/>
    <w:rsid w:val="00D265FF"/>
    <w:rsid w:val="00D26DB3"/>
    <w:rsid w:val="00D3024A"/>
    <w:rsid w:val="00D309AB"/>
    <w:rsid w:val="00D31A37"/>
    <w:rsid w:val="00D335D3"/>
    <w:rsid w:val="00D34B7E"/>
    <w:rsid w:val="00D35D2F"/>
    <w:rsid w:val="00D36894"/>
    <w:rsid w:val="00D45785"/>
    <w:rsid w:val="00D459F4"/>
    <w:rsid w:val="00D45D82"/>
    <w:rsid w:val="00D45DAC"/>
    <w:rsid w:val="00D50DE2"/>
    <w:rsid w:val="00D52505"/>
    <w:rsid w:val="00D52ACB"/>
    <w:rsid w:val="00D5360F"/>
    <w:rsid w:val="00D538D5"/>
    <w:rsid w:val="00D56C69"/>
    <w:rsid w:val="00D576C5"/>
    <w:rsid w:val="00D57DBD"/>
    <w:rsid w:val="00D60ADA"/>
    <w:rsid w:val="00D625C7"/>
    <w:rsid w:val="00D62F56"/>
    <w:rsid w:val="00D641EF"/>
    <w:rsid w:val="00D650C7"/>
    <w:rsid w:val="00D651E9"/>
    <w:rsid w:val="00D654CC"/>
    <w:rsid w:val="00D661C2"/>
    <w:rsid w:val="00D70F2F"/>
    <w:rsid w:val="00D71A23"/>
    <w:rsid w:val="00D71B74"/>
    <w:rsid w:val="00D73B06"/>
    <w:rsid w:val="00D7400F"/>
    <w:rsid w:val="00D749A8"/>
    <w:rsid w:val="00D75895"/>
    <w:rsid w:val="00D75DDA"/>
    <w:rsid w:val="00D76531"/>
    <w:rsid w:val="00D80513"/>
    <w:rsid w:val="00D80F4E"/>
    <w:rsid w:val="00D80FD7"/>
    <w:rsid w:val="00D81083"/>
    <w:rsid w:val="00D81FF0"/>
    <w:rsid w:val="00D836C4"/>
    <w:rsid w:val="00D84219"/>
    <w:rsid w:val="00D84600"/>
    <w:rsid w:val="00D84AAD"/>
    <w:rsid w:val="00D8632E"/>
    <w:rsid w:val="00D86BCB"/>
    <w:rsid w:val="00D87054"/>
    <w:rsid w:val="00D87A18"/>
    <w:rsid w:val="00D91409"/>
    <w:rsid w:val="00D91D34"/>
    <w:rsid w:val="00D9256A"/>
    <w:rsid w:val="00D9448D"/>
    <w:rsid w:val="00D95930"/>
    <w:rsid w:val="00D962C5"/>
    <w:rsid w:val="00D967A2"/>
    <w:rsid w:val="00D97DA8"/>
    <w:rsid w:val="00DA0B4C"/>
    <w:rsid w:val="00DA18CD"/>
    <w:rsid w:val="00DA2C7D"/>
    <w:rsid w:val="00DA35AA"/>
    <w:rsid w:val="00DA7E7F"/>
    <w:rsid w:val="00DA7F74"/>
    <w:rsid w:val="00DB0031"/>
    <w:rsid w:val="00DB1615"/>
    <w:rsid w:val="00DB297B"/>
    <w:rsid w:val="00DB2A2F"/>
    <w:rsid w:val="00DB2B7D"/>
    <w:rsid w:val="00DB6FEE"/>
    <w:rsid w:val="00DB792B"/>
    <w:rsid w:val="00DC2D0A"/>
    <w:rsid w:val="00DC52D6"/>
    <w:rsid w:val="00DC5687"/>
    <w:rsid w:val="00DC5C01"/>
    <w:rsid w:val="00DC7000"/>
    <w:rsid w:val="00DC75B5"/>
    <w:rsid w:val="00DD2966"/>
    <w:rsid w:val="00DD29A5"/>
    <w:rsid w:val="00DD3888"/>
    <w:rsid w:val="00DD44C6"/>
    <w:rsid w:val="00DD498B"/>
    <w:rsid w:val="00DD53B5"/>
    <w:rsid w:val="00DD5443"/>
    <w:rsid w:val="00DD5A26"/>
    <w:rsid w:val="00DD60FD"/>
    <w:rsid w:val="00DD7B0B"/>
    <w:rsid w:val="00DD7DD1"/>
    <w:rsid w:val="00DE01F5"/>
    <w:rsid w:val="00DE0586"/>
    <w:rsid w:val="00DE09D8"/>
    <w:rsid w:val="00DE117C"/>
    <w:rsid w:val="00DE3E4A"/>
    <w:rsid w:val="00DE491A"/>
    <w:rsid w:val="00DE5244"/>
    <w:rsid w:val="00DE66A6"/>
    <w:rsid w:val="00DE6FE3"/>
    <w:rsid w:val="00DE7C02"/>
    <w:rsid w:val="00DF1870"/>
    <w:rsid w:val="00DF1D69"/>
    <w:rsid w:val="00DF1E4B"/>
    <w:rsid w:val="00DF21DD"/>
    <w:rsid w:val="00DF2753"/>
    <w:rsid w:val="00DF2872"/>
    <w:rsid w:val="00DF30BE"/>
    <w:rsid w:val="00DF3744"/>
    <w:rsid w:val="00DF3C7D"/>
    <w:rsid w:val="00DF46A6"/>
    <w:rsid w:val="00DF59C1"/>
    <w:rsid w:val="00DF5CB8"/>
    <w:rsid w:val="00DF5D73"/>
    <w:rsid w:val="00DF66FB"/>
    <w:rsid w:val="00E00AFC"/>
    <w:rsid w:val="00E044A2"/>
    <w:rsid w:val="00E0450C"/>
    <w:rsid w:val="00E10807"/>
    <w:rsid w:val="00E110BF"/>
    <w:rsid w:val="00E115A4"/>
    <w:rsid w:val="00E1562B"/>
    <w:rsid w:val="00E1666E"/>
    <w:rsid w:val="00E212BF"/>
    <w:rsid w:val="00E221BE"/>
    <w:rsid w:val="00E23E67"/>
    <w:rsid w:val="00E24DD3"/>
    <w:rsid w:val="00E2668E"/>
    <w:rsid w:val="00E26837"/>
    <w:rsid w:val="00E27195"/>
    <w:rsid w:val="00E272F7"/>
    <w:rsid w:val="00E27D27"/>
    <w:rsid w:val="00E3185E"/>
    <w:rsid w:val="00E320DE"/>
    <w:rsid w:val="00E3223F"/>
    <w:rsid w:val="00E323AB"/>
    <w:rsid w:val="00E32AE3"/>
    <w:rsid w:val="00E36231"/>
    <w:rsid w:val="00E36364"/>
    <w:rsid w:val="00E4148B"/>
    <w:rsid w:val="00E429EB"/>
    <w:rsid w:val="00E43A3D"/>
    <w:rsid w:val="00E442A7"/>
    <w:rsid w:val="00E447BF"/>
    <w:rsid w:val="00E45270"/>
    <w:rsid w:val="00E45C05"/>
    <w:rsid w:val="00E5093D"/>
    <w:rsid w:val="00E50B98"/>
    <w:rsid w:val="00E51430"/>
    <w:rsid w:val="00E51FFD"/>
    <w:rsid w:val="00E52948"/>
    <w:rsid w:val="00E52D68"/>
    <w:rsid w:val="00E53A2C"/>
    <w:rsid w:val="00E53B02"/>
    <w:rsid w:val="00E546A4"/>
    <w:rsid w:val="00E5696A"/>
    <w:rsid w:val="00E57F55"/>
    <w:rsid w:val="00E60004"/>
    <w:rsid w:val="00E61101"/>
    <w:rsid w:val="00E61402"/>
    <w:rsid w:val="00E61A0D"/>
    <w:rsid w:val="00E625F7"/>
    <w:rsid w:val="00E638E6"/>
    <w:rsid w:val="00E650B5"/>
    <w:rsid w:val="00E65D60"/>
    <w:rsid w:val="00E66514"/>
    <w:rsid w:val="00E66594"/>
    <w:rsid w:val="00E66911"/>
    <w:rsid w:val="00E6696E"/>
    <w:rsid w:val="00E66C73"/>
    <w:rsid w:val="00E670EA"/>
    <w:rsid w:val="00E674AE"/>
    <w:rsid w:val="00E70A5F"/>
    <w:rsid w:val="00E718DE"/>
    <w:rsid w:val="00E7238B"/>
    <w:rsid w:val="00E7552B"/>
    <w:rsid w:val="00E75EE1"/>
    <w:rsid w:val="00E77AA0"/>
    <w:rsid w:val="00E80277"/>
    <w:rsid w:val="00E808A3"/>
    <w:rsid w:val="00E81458"/>
    <w:rsid w:val="00E835E5"/>
    <w:rsid w:val="00E83940"/>
    <w:rsid w:val="00E83D59"/>
    <w:rsid w:val="00E844A9"/>
    <w:rsid w:val="00E8457E"/>
    <w:rsid w:val="00E86BED"/>
    <w:rsid w:val="00E86DE5"/>
    <w:rsid w:val="00E873BA"/>
    <w:rsid w:val="00E9051A"/>
    <w:rsid w:val="00E90923"/>
    <w:rsid w:val="00E90C6E"/>
    <w:rsid w:val="00E92B2E"/>
    <w:rsid w:val="00E935BE"/>
    <w:rsid w:val="00E947D7"/>
    <w:rsid w:val="00E95EEC"/>
    <w:rsid w:val="00E97F6A"/>
    <w:rsid w:val="00EA4642"/>
    <w:rsid w:val="00EA4DE7"/>
    <w:rsid w:val="00EA6298"/>
    <w:rsid w:val="00EA659C"/>
    <w:rsid w:val="00EA66E9"/>
    <w:rsid w:val="00EA6B8B"/>
    <w:rsid w:val="00EB0DD7"/>
    <w:rsid w:val="00EB2C42"/>
    <w:rsid w:val="00EB2E3A"/>
    <w:rsid w:val="00EB3C3D"/>
    <w:rsid w:val="00EB49D3"/>
    <w:rsid w:val="00EB5209"/>
    <w:rsid w:val="00EC1474"/>
    <w:rsid w:val="00EC27F8"/>
    <w:rsid w:val="00EC2A7A"/>
    <w:rsid w:val="00EC56CB"/>
    <w:rsid w:val="00EC5E6D"/>
    <w:rsid w:val="00EC66CB"/>
    <w:rsid w:val="00EC6A88"/>
    <w:rsid w:val="00EC727C"/>
    <w:rsid w:val="00EC7905"/>
    <w:rsid w:val="00ED2A64"/>
    <w:rsid w:val="00ED39FC"/>
    <w:rsid w:val="00ED3D89"/>
    <w:rsid w:val="00ED4599"/>
    <w:rsid w:val="00ED459F"/>
    <w:rsid w:val="00ED5101"/>
    <w:rsid w:val="00ED7575"/>
    <w:rsid w:val="00EE4EFE"/>
    <w:rsid w:val="00EE4F45"/>
    <w:rsid w:val="00EE5858"/>
    <w:rsid w:val="00EE58E5"/>
    <w:rsid w:val="00EE674A"/>
    <w:rsid w:val="00EE6D85"/>
    <w:rsid w:val="00EF02AA"/>
    <w:rsid w:val="00EF1E05"/>
    <w:rsid w:val="00EF4502"/>
    <w:rsid w:val="00EF5016"/>
    <w:rsid w:val="00EF5CC2"/>
    <w:rsid w:val="00EF6085"/>
    <w:rsid w:val="00F00DDD"/>
    <w:rsid w:val="00F01104"/>
    <w:rsid w:val="00F01604"/>
    <w:rsid w:val="00F026B6"/>
    <w:rsid w:val="00F045BF"/>
    <w:rsid w:val="00F04A17"/>
    <w:rsid w:val="00F04AA7"/>
    <w:rsid w:val="00F0526E"/>
    <w:rsid w:val="00F0611F"/>
    <w:rsid w:val="00F073A3"/>
    <w:rsid w:val="00F073C9"/>
    <w:rsid w:val="00F07400"/>
    <w:rsid w:val="00F10528"/>
    <w:rsid w:val="00F11D95"/>
    <w:rsid w:val="00F12FFF"/>
    <w:rsid w:val="00F13EF9"/>
    <w:rsid w:val="00F16CB8"/>
    <w:rsid w:val="00F172D5"/>
    <w:rsid w:val="00F174CD"/>
    <w:rsid w:val="00F20043"/>
    <w:rsid w:val="00F2026F"/>
    <w:rsid w:val="00F203E9"/>
    <w:rsid w:val="00F2176C"/>
    <w:rsid w:val="00F23D02"/>
    <w:rsid w:val="00F24254"/>
    <w:rsid w:val="00F2453C"/>
    <w:rsid w:val="00F2497E"/>
    <w:rsid w:val="00F25136"/>
    <w:rsid w:val="00F27712"/>
    <w:rsid w:val="00F27C20"/>
    <w:rsid w:val="00F27E41"/>
    <w:rsid w:val="00F32314"/>
    <w:rsid w:val="00F323C2"/>
    <w:rsid w:val="00F3262E"/>
    <w:rsid w:val="00F33314"/>
    <w:rsid w:val="00F346E4"/>
    <w:rsid w:val="00F34B42"/>
    <w:rsid w:val="00F3504B"/>
    <w:rsid w:val="00F3508E"/>
    <w:rsid w:val="00F35E89"/>
    <w:rsid w:val="00F36592"/>
    <w:rsid w:val="00F365D5"/>
    <w:rsid w:val="00F37C0A"/>
    <w:rsid w:val="00F402ED"/>
    <w:rsid w:val="00F406AC"/>
    <w:rsid w:val="00F417BB"/>
    <w:rsid w:val="00F4220E"/>
    <w:rsid w:val="00F42B4D"/>
    <w:rsid w:val="00F43EB7"/>
    <w:rsid w:val="00F45E43"/>
    <w:rsid w:val="00F4637E"/>
    <w:rsid w:val="00F465B4"/>
    <w:rsid w:val="00F465E2"/>
    <w:rsid w:val="00F46605"/>
    <w:rsid w:val="00F47B17"/>
    <w:rsid w:val="00F47CC4"/>
    <w:rsid w:val="00F47D50"/>
    <w:rsid w:val="00F50998"/>
    <w:rsid w:val="00F50C5D"/>
    <w:rsid w:val="00F50FE5"/>
    <w:rsid w:val="00F515AB"/>
    <w:rsid w:val="00F516F2"/>
    <w:rsid w:val="00F54E81"/>
    <w:rsid w:val="00F55958"/>
    <w:rsid w:val="00F565FC"/>
    <w:rsid w:val="00F60032"/>
    <w:rsid w:val="00F60BF4"/>
    <w:rsid w:val="00F61CF7"/>
    <w:rsid w:val="00F62824"/>
    <w:rsid w:val="00F63B72"/>
    <w:rsid w:val="00F64300"/>
    <w:rsid w:val="00F64A96"/>
    <w:rsid w:val="00F6515A"/>
    <w:rsid w:val="00F6561B"/>
    <w:rsid w:val="00F65D06"/>
    <w:rsid w:val="00F66D09"/>
    <w:rsid w:val="00F67674"/>
    <w:rsid w:val="00F706DA"/>
    <w:rsid w:val="00F7129C"/>
    <w:rsid w:val="00F72227"/>
    <w:rsid w:val="00F72669"/>
    <w:rsid w:val="00F7279F"/>
    <w:rsid w:val="00F72C54"/>
    <w:rsid w:val="00F74EE8"/>
    <w:rsid w:val="00F8259A"/>
    <w:rsid w:val="00F82CBD"/>
    <w:rsid w:val="00F84164"/>
    <w:rsid w:val="00F84DA9"/>
    <w:rsid w:val="00F8693F"/>
    <w:rsid w:val="00F90400"/>
    <w:rsid w:val="00F92473"/>
    <w:rsid w:val="00F92758"/>
    <w:rsid w:val="00F92A39"/>
    <w:rsid w:val="00F92FC9"/>
    <w:rsid w:val="00F930DB"/>
    <w:rsid w:val="00F94F85"/>
    <w:rsid w:val="00F95161"/>
    <w:rsid w:val="00F95F31"/>
    <w:rsid w:val="00F963EE"/>
    <w:rsid w:val="00F96424"/>
    <w:rsid w:val="00F96B19"/>
    <w:rsid w:val="00F96C13"/>
    <w:rsid w:val="00F973F8"/>
    <w:rsid w:val="00F97739"/>
    <w:rsid w:val="00FA047A"/>
    <w:rsid w:val="00FA35A3"/>
    <w:rsid w:val="00FA3B31"/>
    <w:rsid w:val="00FA3DC1"/>
    <w:rsid w:val="00FA42DB"/>
    <w:rsid w:val="00FA46BB"/>
    <w:rsid w:val="00FA4DCD"/>
    <w:rsid w:val="00FB0E7B"/>
    <w:rsid w:val="00FB1194"/>
    <w:rsid w:val="00FB1EE9"/>
    <w:rsid w:val="00FB2A17"/>
    <w:rsid w:val="00FB2A8E"/>
    <w:rsid w:val="00FB4270"/>
    <w:rsid w:val="00FB4A60"/>
    <w:rsid w:val="00FB593C"/>
    <w:rsid w:val="00FB6182"/>
    <w:rsid w:val="00FB67D3"/>
    <w:rsid w:val="00FB6B1C"/>
    <w:rsid w:val="00FB6DAA"/>
    <w:rsid w:val="00FC00BD"/>
    <w:rsid w:val="00FC096F"/>
    <w:rsid w:val="00FC0F1C"/>
    <w:rsid w:val="00FC108D"/>
    <w:rsid w:val="00FC24F8"/>
    <w:rsid w:val="00FC3276"/>
    <w:rsid w:val="00FC3CE1"/>
    <w:rsid w:val="00FC3EFD"/>
    <w:rsid w:val="00FC5008"/>
    <w:rsid w:val="00FC5ACB"/>
    <w:rsid w:val="00FC7CCB"/>
    <w:rsid w:val="00FD2E6E"/>
    <w:rsid w:val="00FD42E6"/>
    <w:rsid w:val="00FD5668"/>
    <w:rsid w:val="00FD7152"/>
    <w:rsid w:val="00FE128A"/>
    <w:rsid w:val="00FE1B6E"/>
    <w:rsid w:val="00FE2AD7"/>
    <w:rsid w:val="00FE4188"/>
    <w:rsid w:val="00FE484D"/>
    <w:rsid w:val="00FE5BA9"/>
    <w:rsid w:val="00FE61CB"/>
    <w:rsid w:val="00FE6924"/>
    <w:rsid w:val="00FE69CF"/>
    <w:rsid w:val="00FE6E71"/>
    <w:rsid w:val="00FE7A33"/>
    <w:rsid w:val="00FF0F11"/>
    <w:rsid w:val="00FF10A3"/>
    <w:rsid w:val="00FF1739"/>
    <w:rsid w:val="00FF2212"/>
    <w:rsid w:val="00FF2CD2"/>
    <w:rsid w:val="00FF385C"/>
    <w:rsid w:val="00FF4CE6"/>
    <w:rsid w:val="00FF5290"/>
    <w:rsid w:val="00FF72E6"/>
    <w:rsid w:val="0106117A"/>
    <w:rsid w:val="01310E11"/>
    <w:rsid w:val="01F5162D"/>
    <w:rsid w:val="03172113"/>
    <w:rsid w:val="031B46D0"/>
    <w:rsid w:val="031F16C7"/>
    <w:rsid w:val="03690952"/>
    <w:rsid w:val="03EF1A4A"/>
    <w:rsid w:val="04040AD7"/>
    <w:rsid w:val="04696E0B"/>
    <w:rsid w:val="04E5001A"/>
    <w:rsid w:val="052B6D0A"/>
    <w:rsid w:val="05485921"/>
    <w:rsid w:val="05742D4C"/>
    <w:rsid w:val="05DA0582"/>
    <w:rsid w:val="061119D8"/>
    <w:rsid w:val="06627DAA"/>
    <w:rsid w:val="071A4EEF"/>
    <w:rsid w:val="07722082"/>
    <w:rsid w:val="07A773DE"/>
    <w:rsid w:val="07E042E2"/>
    <w:rsid w:val="07F70453"/>
    <w:rsid w:val="084A7C8E"/>
    <w:rsid w:val="08866B8E"/>
    <w:rsid w:val="08BE408E"/>
    <w:rsid w:val="09085BA7"/>
    <w:rsid w:val="09A72C16"/>
    <w:rsid w:val="0A007A33"/>
    <w:rsid w:val="0A8C41B2"/>
    <w:rsid w:val="0AA10FCA"/>
    <w:rsid w:val="0AD54BFE"/>
    <w:rsid w:val="0B6415F2"/>
    <w:rsid w:val="0B894A63"/>
    <w:rsid w:val="0CB35FBA"/>
    <w:rsid w:val="0D274D45"/>
    <w:rsid w:val="0D886DC3"/>
    <w:rsid w:val="0DD63F5D"/>
    <w:rsid w:val="0DDC0132"/>
    <w:rsid w:val="0DEC221E"/>
    <w:rsid w:val="0E7B241C"/>
    <w:rsid w:val="0EBC0DA2"/>
    <w:rsid w:val="0F213F14"/>
    <w:rsid w:val="10B5314C"/>
    <w:rsid w:val="115A1FB8"/>
    <w:rsid w:val="126B3870"/>
    <w:rsid w:val="12DC58C9"/>
    <w:rsid w:val="130548EB"/>
    <w:rsid w:val="13107355"/>
    <w:rsid w:val="1488343E"/>
    <w:rsid w:val="158E42C7"/>
    <w:rsid w:val="16050B58"/>
    <w:rsid w:val="162C16D5"/>
    <w:rsid w:val="165328D5"/>
    <w:rsid w:val="16562AEB"/>
    <w:rsid w:val="16841476"/>
    <w:rsid w:val="16F62DEA"/>
    <w:rsid w:val="18C34992"/>
    <w:rsid w:val="1A140C11"/>
    <w:rsid w:val="1A497172"/>
    <w:rsid w:val="1A562FFB"/>
    <w:rsid w:val="1A777DEA"/>
    <w:rsid w:val="1ABA54CD"/>
    <w:rsid w:val="1ACB5591"/>
    <w:rsid w:val="1B272B5B"/>
    <w:rsid w:val="1B7D01F3"/>
    <w:rsid w:val="1BF8062D"/>
    <w:rsid w:val="1C1F03A8"/>
    <w:rsid w:val="1C473D0A"/>
    <w:rsid w:val="1D175F16"/>
    <w:rsid w:val="1D660E4B"/>
    <w:rsid w:val="1D752B34"/>
    <w:rsid w:val="1D976BDF"/>
    <w:rsid w:val="1DC50216"/>
    <w:rsid w:val="1E0033B4"/>
    <w:rsid w:val="1E305E49"/>
    <w:rsid w:val="1E461F2B"/>
    <w:rsid w:val="1EA45018"/>
    <w:rsid w:val="1ED80DF7"/>
    <w:rsid w:val="1EDE1C97"/>
    <w:rsid w:val="1F054C01"/>
    <w:rsid w:val="1F0D287E"/>
    <w:rsid w:val="1F5B6FAC"/>
    <w:rsid w:val="1F8D7AA7"/>
    <w:rsid w:val="1F9B0BD5"/>
    <w:rsid w:val="20344F28"/>
    <w:rsid w:val="206427A4"/>
    <w:rsid w:val="20665CC1"/>
    <w:rsid w:val="207130DE"/>
    <w:rsid w:val="20957E3A"/>
    <w:rsid w:val="20BB0463"/>
    <w:rsid w:val="213D2B57"/>
    <w:rsid w:val="21C01751"/>
    <w:rsid w:val="22081F87"/>
    <w:rsid w:val="222034CB"/>
    <w:rsid w:val="22443437"/>
    <w:rsid w:val="24D355E0"/>
    <w:rsid w:val="24E35DD2"/>
    <w:rsid w:val="257A710A"/>
    <w:rsid w:val="25874402"/>
    <w:rsid w:val="259D1818"/>
    <w:rsid w:val="25D6729A"/>
    <w:rsid w:val="264C6F64"/>
    <w:rsid w:val="265D13F8"/>
    <w:rsid w:val="26D96C33"/>
    <w:rsid w:val="273262A2"/>
    <w:rsid w:val="277F55A4"/>
    <w:rsid w:val="283B5F6A"/>
    <w:rsid w:val="28AB5118"/>
    <w:rsid w:val="28F03182"/>
    <w:rsid w:val="29FB6CFA"/>
    <w:rsid w:val="2AA66D88"/>
    <w:rsid w:val="2B5B5600"/>
    <w:rsid w:val="2BBB323D"/>
    <w:rsid w:val="2C350677"/>
    <w:rsid w:val="2C8D1DC2"/>
    <w:rsid w:val="2CE42D43"/>
    <w:rsid w:val="2D4A6CF9"/>
    <w:rsid w:val="2D970D3C"/>
    <w:rsid w:val="2DCA46F5"/>
    <w:rsid w:val="2E4C023E"/>
    <w:rsid w:val="2F2773B7"/>
    <w:rsid w:val="2F343E1E"/>
    <w:rsid w:val="2FD94952"/>
    <w:rsid w:val="30997565"/>
    <w:rsid w:val="31D00F01"/>
    <w:rsid w:val="33780F34"/>
    <w:rsid w:val="33ED5A12"/>
    <w:rsid w:val="353D5A84"/>
    <w:rsid w:val="35A44573"/>
    <w:rsid w:val="35A95788"/>
    <w:rsid w:val="35FE4E0D"/>
    <w:rsid w:val="365D1BC7"/>
    <w:rsid w:val="366A0E95"/>
    <w:rsid w:val="38BA024C"/>
    <w:rsid w:val="38F05CCD"/>
    <w:rsid w:val="398E34C1"/>
    <w:rsid w:val="3B600F12"/>
    <w:rsid w:val="3D1F1D51"/>
    <w:rsid w:val="3D9325DF"/>
    <w:rsid w:val="3DB940E6"/>
    <w:rsid w:val="3E3A2AA1"/>
    <w:rsid w:val="3E656438"/>
    <w:rsid w:val="3EA65C77"/>
    <w:rsid w:val="3EFE0783"/>
    <w:rsid w:val="3F1F6325"/>
    <w:rsid w:val="3FD700C5"/>
    <w:rsid w:val="402D5FDD"/>
    <w:rsid w:val="402E246A"/>
    <w:rsid w:val="403A0764"/>
    <w:rsid w:val="403D17CD"/>
    <w:rsid w:val="40C63160"/>
    <w:rsid w:val="40F72ED8"/>
    <w:rsid w:val="41595FF6"/>
    <w:rsid w:val="41894C7C"/>
    <w:rsid w:val="426B0665"/>
    <w:rsid w:val="428F34A9"/>
    <w:rsid w:val="42C27E87"/>
    <w:rsid w:val="430479A4"/>
    <w:rsid w:val="43505D18"/>
    <w:rsid w:val="435A7C6C"/>
    <w:rsid w:val="4575379E"/>
    <w:rsid w:val="45E82537"/>
    <w:rsid w:val="46283FB4"/>
    <w:rsid w:val="46AD0E99"/>
    <w:rsid w:val="47AE3A6C"/>
    <w:rsid w:val="47F76065"/>
    <w:rsid w:val="4945016C"/>
    <w:rsid w:val="4969670B"/>
    <w:rsid w:val="49837994"/>
    <w:rsid w:val="49B51D67"/>
    <w:rsid w:val="49C626E7"/>
    <w:rsid w:val="49CD09FE"/>
    <w:rsid w:val="4ABA40F4"/>
    <w:rsid w:val="4AF713FC"/>
    <w:rsid w:val="4B5A1D64"/>
    <w:rsid w:val="4B902F0C"/>
    <w:rsid w:val="4C325804"/>
    <w:rsid w:val="4C833EC7"/>
    <w:rsid w:val="4CE038E7"/>
    <w:rsid w:val="4CFC46D2"/>
    <w:rsid w:val="4D742DA8"/>
    <w:rsid w:val="4DBD52EF"/>
    <w:rsid w:val="4E105F35"/>
    <w:rsid w:val="4EA156A8"/>
    <w:rsid w:val="515A248E"/>
    <w:rsid w:val="529B3C46"/>
    <w:rsid w:val="52A71E3B"/>
    <w:rsid w:val="52B34747"/>
    <w:rsid w:val="54493DF7"/>
    <w:rsid w:val="548303AC"/>
    <w:rsid w:val="548F6080"/>
    <w:rsid w:val="54A26156"/>
    <w:rsid w:val="55E13D05"/>
    <w:rsid w:val="56E9411E"/>
    <w:rsid w:val="57431B9B"/>
    <w:rsid w:val="57BD6AED"/>
    <w:rsid w:val="57FA6588"/>
    <w:rsid w:val="58757093"/>
    <w:rsid w:val="58A82EEA"/>
    <w:rsid w:val="59D91E75"/>
    <w:rsid w:val="5A307A3D"/>
    <w:rsid w:val="5B7027E6"/>
    <w:rsid w:val="5BE24814"/>
    <w:rsid w:val="5E7845BB"/>
    <w:rsid w:val="5E9846A8"/>
    <w:rsid w:val="5F3A4B5A"/>
    <w:rsid w:val="605B55DE"/>
    <w:rsid w:val="60607C9C"/>
    <w:rsid w:val="60640690"/>
    <w:rsid w:val="61066316"/>
    <w:rsid w:val="62186499"/>
    <w:rsid w:val="62271325"/>
    <w:rsid w:val="62356D01"/>
    <w:rsid w:val="6303272F"/>
    <w:rsid w:val="645F4B91"/>
    <w:rsid w:val="648251E7"/>
    <w:rsid w:val="652D46DC"/>
    <w:rsid w:val="65E65902"/>
    <w:rsid w:val="661258AA"/>
    <w:rsid w:val="66B310D5"/>
    <w:rsid w:val="672101E2"/>
    <w:rsid w:val="69217B3D"/>
    <w:rsid w:val="69377EB4"/>
    <w:rsid w:val="69A76C6E"/>
    <w:rsid w:val="69C0130F"/>
    <w:rsid w:val="6AFA182D"/>
    <w:rsid w:val="6B832126"/>
    <w:rsid w:val="6B9F7A0E"/>
    <w:rsid w:val="6BE80FCB"/>
    <w:rsid w:val="6C6E5697"/>
    <w:rsid w:val="6CE67F73"/>
    <w:rsid w:val="6D7E0B5E"/>
    <w:rsid w:val="6DFC340E"/>
    <w:rsid w:val="6E757480"/>
    <w:rsid w:val="6F1F4717"/>
    <w:rsid w:val="6F527928"/>
    <w:rsid w:val="6F664B65"/>
    <w:rsid w:val="702C664F"/>
    <w:rsid w:val="70C0567D"/>
    <w:rsid w:val="70D04CE3"/>
    <w:rsid w:val="70E37157"/>
    <w:rsid w:val="71527071"/>
    <w:rsid w:val="71A43557"/>
    <w:rsid w:val="71CD65CE"/>
    <w:rsid w:val="72340669"/>
    <w:rsid w:val="724730D0"/>
    <w:rsid w:val="725A5869"/>
    <w:rsid w:val="72BA0CA5"/>
    <w:rsid w:val="72EB0CD6"/>
    <w:rsid w:val="730A303E"/>
    <w:rsid w:val="73961191"/>
    <w:rsid w:val="73DD59E5"/>
    <w:rsid w:val="742F6846"/>
    <w:rsid w:val="74394EDF"/>
    <w:rsid w:val="74A21D95"/>
    <w:rsid w:val="75077454"/>
    <w:rsid w:val="75A0777F"/>
    <w:rsid w:val="761E69DC"/>
    <w:rsid w:val="76AD6720"/>
    <w:rsid w:val="77026425"/>
    <w:rsid w:val="77890A41"/>
    <w:rsid w:val="77A61801"/>
    <w:rsid w:val="77EE1A33"/>
    <w:rsid w:val="78037E4A"/>
    <w:rsid w:val="785A1080"/>
    <w:rsid w:val="78B558EB"/>
    <w:rsid w:val="78D15329"/>
    <w:rsid w:val="792924EF"/>
    <w:rsid w:val="79640104"/>
    <w:rsid w:val="7B034D09"/>
    <w:rsid w:val="7B151FDD"/>
    <w:rsid w:val="7C0E57A2"/>
    <w:rsid w:val="7C281EA8"/>
    <w:rsid w:val="7C40009A"/>
    <w:rsid w:val="7D0B4757"/>
    <w:rsid w:val="7D3E47D3"/>
    <w:rsid w:val="7DAC31C3"/>
    <w:rsid w:val="7F1258DA"/>
    <w:rsid w:val="7F303DA8"/>
    <w:rsid w:val="7FF71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6">
    <w:name w:val="heading 1"/>
    <w:basedOn w:val="1"/>
    <w:next w:val="1"/>
    <w:qFormat/>
    <w:uiPriority w:val="0"/>
    <w:pPr>
      <w:keepNext/>
      <w:keepLines/>
      <w:spacing w:before="340" w:after="330" w:line="578" w:lineRule="auto"/>
      <w:outlineLvl w:val="0"/>
    </w:pPr>
    <w:rPr>
      <w:b/>
      <w:kern w:val="44"/>
      <w:sz w:val="44"/>
    </w:rPr>
  </w:style>
  <w:style w:type="paragraph" w:styleId="7">
    <w:name w:val="heading 2"/>
    <w:basedOn w:val="1"/>
    <w:next w:val="1"/>
    <w:link w:val="71"/>
    <w:qFormat/>
    <w:uiPriority w:val="0"/>
    <w:pPr>
      <w:keepNext/>
      <w:keepLines/>
      <w:overflowPunct w:val="0"/>
      <w:adjustRightInd w:val="0"/>
      <w:jc w:val="left"/>
      <w:textAlignment w:val="baseline"/>
      <w:outlineLvl w:val="1"/>
    </w:pPr>
    <w:rPr>
      <w:rFonts w:ascii="宋体" w:hAnsi="宋体"/>
      <w:b/>
    </w:rPr>
  </w:style>
  <w:style w:type="paragraph" w:styleId="8">
    <w:name w:val="heading 3"/>
    <w:basedOn w:val="1"/>
    <w:next w:val="1"/>
    <w:qFormat/>
    <w:uiPriority w:val="0"/>
    <w:pPr>
      <w:keepNext/>
      <w:keepLines/>
      <w:adjustRightInd w:val="0"/>
      <w:jc w:val="left"/>
      <w:textAlignment w:val="baseline"/>
      <w:outlineLvl w:val="2"/>
    </w:pPr>
    <w:rPr>
      <w:b/>
    </w:rPr>
  </w:style>
  <w:style w:type="paragraph" w:styleId="9">
    <w:name w:val="heading 4"/>
    <w:basedOn w:val="1"/>
    <w:next w:val="1"/>
    <w:link w:val="101"/>
    <w:qFormat/>
    <w:uiPriority w:val="0"/>
    <w:pPr>
      <w:spacing w:before="280" w:after="290" w:line="376" w:lineRule="auto"/>
      <w:outlineLvl w:val="3"/>
    </w:pPr>
    <w:rPr>
      <w:rFonts w:ascii="Arial" w:hAnsi="宋体" w:eastAsia="黑体"/>
      <w:b/>
      <w:kern w:val="0"/>
      <w:sz w:val="28"/>
    </w:rPr>
  </w:style>
  <w:style w:type="paragraph" w:styleId="10">
    <w:name w:val="heading 5"/>
    <w:basedOn w:val="1"/>
    <w:next w:val="11"/>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12">
    <w:name w:val="heading 6"/>
    <w:basedOn w:val="1"/>
    <w:next w:val="11"/>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3">
    <w:name w:val="heading 7"/>
    <w:basedOn w:val="1"/>
    <w:next w:val="1"/>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4">
    <w:name w:val="heading 8"/>
    <w:basedOn w:val="1"/>
    <w:next w:val="11"/>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5">
    <w:name w:val="heading 9"/>
    <w:basedOn w:val="1"/>
    <w:next w:val="11"/>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420" w:firstLineChars="200"/>
    </w:pPr>
    <w:rPr>
      <w:rFonts w:ascii="宋体" w:hAnsi="宋体" w:eastAsia="宋体"/>
      <w:sz w:val="21"/>
    </w:rPr>
  </w:style>
  <w:style w:type="paragraph" w:styleId="3">
    <w:name w:val="Body Text Indent"/>
    <w:basedOn w:val="1"/>
    <w:next w:val="4"/>
    <w:link w:val="77"/>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99"/>
    <w:pPr>
      <w:snapToGrid w:val="0"/>
    </w:pPr>
    <w:rPr>
      <w:rFonts w:ascii="Arial" w:hAnsi="Arial" w:cs="Arial"/>
    </w:rPr>
  </w:style>
  <w:style w:type="paragraph" w:styleId="5">
    <w:name w:val="Body Text Indent 3"/>
    <w:basedOn w:val="1"/>
    <w:qFormat/>
    <w:uiPriority w:val="0"/>
    <w:pPr>
      <w:spacing w:line="360" w:lineRule="auto"/>
      <w:ind w:firstLine="617" w:firstLineChars="257"/>
    </w:pPr>
    <w:rPr>
      <w:rFonts w:eastAsia="宋体"/>
      <w:sz w:val="24"/>
      <w:szCs w:val="24"/>
    </w:rPr>
  </w:style>
  <w:style w:type="paragraph" w:styleId="11">
    <w:name w:val="Normal Indent"/>
    <w:basedOn w:val="1"/>
    <w:link w:val="106"/>
    <w:qFormat/>
    <w:uiPriority w:val="0"/>
    <w:pPr>
      <w:adjustRightInd w:val="0"/>
      <w:ind w:firstLine="420"/>
      <w:jc w:val="left"/>
      <w:textAlignment w:val="baseline"/>
    </w:pPr>
    <w:rPr>
      <w:sz w:val="24"/>
    </w:rPr>
  </w:style>
  <w:style w:type="paragraph" w:styleId="16">
    <w:name w:val="toc 7"/>
    <w:basedOn w:val="1"/>
    <w:next w:val="1"/>
    <w:qFormat/>
    <w:uiPriority w:val="0"/>
    <w:pPr>
      <w:ind w:left="2520"/>
    </w:pPr>
  </w:style>
  <w:style w:type="paragraph" w:styleId="17">
    <w:name w:val="index 8"/>
    <w:basedOn w:val="1"/>
    <w:next w:val="1"/>
    <w:qFormat/>
    <w:uiPriority w:val="0"/>
    <w:pPr>
      <w:ind w:left="2940"/>
    </w:pPr>
  </w:style>
  <w:style w:type="paragraph" w:styleId="18">
    <w:name w:val="index 5"/>
    <w:basedOn w:val="1"/>
    <w:next w:val="1"/>
    <w:qFormat/>
    <w:uiPriority w:val="0"/>
    <w:pPr>
      <w:ind w:left="1680"/>
    </w:pPr>
  </w:style>
  <w:style w:type="paragraph" w:styleId="19">
    <w:name w:val="Document Map"/>
    <w:basedOn w:val="1"/>
    <w:qFormat/>
    <w:uiPriority w:val="0"/>
    <w:pPr>
      <w:shd w:val="clear" w:color="auto" w:fill="000080"/>
    </w:pPr>
  </w:style>
  <w:style w:type="paragraph" w:styleId="20">
    <w:name w:val="annotation text"/>
    <w:basedOn w:val="1"/>
    <w:link w:val="118"/>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119"/>
    <w:qFormat/>
    <w:uiPriority w:val="0"/>
    <w:pPr>
      <w:widowControl/>
    </w:pPr>
    <w:rPr>
      <w:rFonts w:hAnsi="宋体" w:eastAsia="宋体"/>
      <w:kern w:val="0"/>
      <w:sz w:val="30"/>
    </w:rPr>
  </w:style>
  <w:style w:type="paragraph" w:styleId="23">
    <w:name w:val="Body Text 3"/>
    <w:basedOn w:val="1"/>
    <w:next w:val="1"/>
    <w:link w:val="72"/>
    <w:qFormat/>
    <w:uiPriority w:val="0"/>
    <w:pPr>
      <w:spacing w:line="500" w:lineRule="exact"/>
    </w:pPr>
    <w:rPr>
      <w:rFonts w:hAnsi="宋体" w:eastAsia="宋体"/>
      <w:color w:val="000000"/>
      <w:kern w:val="0"/>
      <w:sz w:val="24"/>
    </w:rPr>
  </w:style>
  <w:style w:type="paragraph" w:styleId="24">
    <w:name w:val="Body Text"/>
    <w:basedOn w:val="1"/>
    <w:qFormat/>
    <w:uiPriority w:val="0"/>
    <w:pPr>
      <w:spacing w:line="400" w:lineRule="exact"/>
    </w:pPr>
    <w:rPr>
      <w:rFonts w:ascii="楷体_GB2312"/>
      <w:sz w:val="28"/>
    </w:rPr>
  </w:style>
  <w:style w:type="paragraph" w:styleId="25">
    <w:name w:val="index 4"/>
    <w:basedOn w:val="1"/>
    <w:next w:val="1"/>
    <w:qFormat/>
    <w:uiPriority w:val="0"/>
    <w:pPr>
      <w:ind w:left="1260"/>
    </w:pPr>
  </w:style>
  <w:style w:type="paragraph" w:styleId="26">
    <w:name w:val="toc 5"/>
    <w:basedOn w:val="1"/>
    <w:next w:val="1"/>
    <w:qFormat/>
    <w:uiPriority w:val="0"/>
    <w:pPr>
      <w:ind w:left="1680"/>
    </w:pPr>
  </w:style>
  <w:style w:type="paragraph" w:styleId="27">
    <w:name w:val="toc 3"/>
    <w:basedOn w:val="1"/>
    <w:next w:val="1"/>
    <w:qFormat/>
    <w:uiPriority w:val="0"/>
    <w:pPr>
      <w:ind w:left="840"/>
    </w:pPr>
  </w:style>
  <w:style w:type="paragraph" w:styleId="28">
    <w:name w:val="Plain Text"/>
    <w:basedOn w:val="1"/>
    <w:link w:val="98"/>
    <w:qFormat/>
    <w:uiPriority w:val="0"/>
    <w:rPr>
      <w:rFonts w:ascii="宋体" w:hAnsi="Courier New"/>
    </w:rPr>
  </w:style>
  <w:style w:type="paragraph" w:styleId="29">
    <w:name w:val="toc 8"/>
    <w:basedOn w:val="1"/>
    <w:next w:val="1"/>
    <w:qFormat/>
    <w:uiPriority w:val="0"/>
    <w:pPr>
      <w:ind w:left="2940"/>
    </w:pPr>
  </w:style>
  <w:style w:type="paragraph" w:styleId="30">
    <w:name w:val="index 3"/>
    <w:basedOn w:val="1"/>
    <w:next w:val="1"/>
    <w:qFormat/>
    <w:uiPriority w:val="0"/>
    <w:pPr>
      <w:ind w:left="840"/>
    </w:pPr>
  </w:style>
  <w:style w:type="paragraph" w:styleId="31">
    <w:name w:val="Date"/>
    <w:basedOn w:val="1"/>
    <w:next w:val="1"/>
    <w:qFormat/>
    <w:uiPriority w:val="0"/>
    <w:rPr>
      <w:rFonts w:ascii="宋体" w:hAnsi="宋体"/>
      <w:sz w:val="24"/>
    </w:rPr>
  </w:style>
  <w:style w:type="paragraph" w:styleId="32">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3">
    <w:name w:val="Balloon Text"/>
    <w:basedOn w:val="1"/>
    <w:qFormat/>
    <w:uiPriority w:val="0"/>
    <w:rPr>
      <w:sz w:val="18"/>
      <w:szCs w:val="18"/>
    </w:rPr>
  </w:style>
  <w:style w:type="paragraph" w:styleId="34">
    <w:name w:val="footer"/>
    <w:basedOn w:val="1"/>
    <w:link w:val="113"/>
    <w:qFormat/>
    <w:uiPriority w:val="99"/>
    <w:pPr>
      <w:tabs>
        <w:tab w:val="center" w:pos="4153"/>
        <w:tab w:val="right" w:pos="8306"/>
      </w:tabs>
      <w:snapToGrid w:val="0"/>
      <w:jc w:val="left"/>
    </w:pPr>
    <w:rPr>
      <w:sz w:val="18"/>
    </w:rPr>
  </w:style>
  <w:style w:type="paragraph" w:styleId="35">
    <w:name w:val="header"/>
    <w:basedOn w:val="1"/>
    <w:link w:val="87"/>
    <w:qFormat/>
    <w:uiPriority w:val="0"/>
    <w:pPr>
      <w:pBdr>
        <w:bottom w:val="single" w:color="auto" w:sz="6" w:space="1"/>
      </w:pBdr>
      <w:tabs>
        <w:tab w:val="center" w:pos="4153"/>
        <w:tab w:val="right" w:pos="8306"/>
      </w:tabs>
      <w:snapToGrid w:val="0"/>
      <w:jc w:val="center"/>
    </w:pPr>
    <w:rPr>
      <w:sz w:val="18"/>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toc 1"/>
    <w:basedOn w:val="1"/>
    <w:next w:val="1"/>
    <w:qFormat/>
    <w:uiPriority w:val="0"/>
    <w:pPr>
      <w:adjustRightInd w:val="0"/>
      <w:jc w:val="left"/>
      <w:textAlignment w:val="baseline"/>
    </w:pPr>
    <w:rPr>
      <w:sz w:val="24"/>
    </w:rPr>
  </w:style>
  <w:style w:type="paragraph" w:styleId="38">
    <w:name w:val="toc 4"/>
    <w:basedOn w:val="1"/>
    <w:next w:val="1"/>
    <w:qFormat/>
    <w:uiPriority w:val="0"/>
    <w:pPr>
      <w:ind w:left="1260"/>
    </w:pPr>
  </w:style>
  <w:style w:type="paragraph" w:styleId="39">
    <w:name w:val="index heading"/>
    <w:basedOn w:val="1"/>
    <w:next w:val="40"/>
    <w:qFormat/>
    <w:uiPriority w:val="0"/>
  </w:style>
  <w:style w:type="paragraph" w:styleId="40">
    <w:name w:val="index 1"/>
    <w:basedOn w:val="1"/>
    <w:next w:val="1"/>
    <w:qFormat/>
    <w:uiPriority w:val="0"/>
  </w:style>
  <w:style w:type="paragraph" w:styleId="41">
    <w:name w:val="Subtitle"/>
    <w:basedOn w:val="1"/>
    <w:next w:val="1"/>
    <w:link w:val="111"/>
    <w:qFormat/>
    <w:uiPriority w:val="0"/>
    <w:pPr>
      <w:spacing w:before="240" w:after="60" w:line="312" w:lineRule="auto"/>
      <w:jc w:val="center"/>
      <w:outlineLvl w:val="1"/>
    </w:pPr>
    <w:rPr>
      <w:rFonts w:ascii="Cambria" w:hAnsi="宋体" w:eastAsia="宋体"/>
      <w:b/>
      <w:kern w:val="0"/>
      <w:sz w:val="32"/>
    </w:rPr>
  </w:style>
  <w:style w:type="paragraph" w:styleId="42">
    <w:name w:val="footnote text"/>
    <w:basedOn w:val="1"/>
    <w:qFormat/>
    <w:uiPriority w:val="0"/>
    <w:pPr>
      <w:snapToGrid w:val="0"/>
      <w:jc w:val="left"/>
    </w:pPr>
    <w:rPr>
      <w:sz w:val="18"/>
    </w:rPr>
  </w:style>
  <w:style w:type="paragraph" w:styleId="43">
    <w:name w:val="toc 6"/>
    <w:basedOn w:val="1"/>
    <w:next w:val="1"/>
    <w:qFormat/>
    <w:uiPriority w:val="0"/>
    <w:pPr>
      <w:ind w:left="2100"/>
    </w:pPr>
  </w:style>
  <w:style w:type="paragraph" w:styleId="44">
    <w:name w:val="index 7"/>
    <w:basedOn w:val="1"/>
    <w:next w:val="1"/>
    <w:qFormat/>
    <w:uiPriority w:val="0"/>
    <w:pPr>
      <w:ind w:left="2520"/>
    </w:pPr>
  </w:style>
  <w:style w:type="paragraph" w:styleId="45">
    <w:name w:val="index 9"/>
    <w:basedOn w:val="1"/>
    <w:next w:val="1"/>
    <w:qFormat/>
    <w:uiPriority w:val="0"/>
    <w:pPr>
      <w:ind w:left="3360"/>
    </w:pPr>
  </w:style>
  <w:style w:type="paragraph" w:styleId="46">
    <w:name w:val="table of figures"/>
    <w:basedOn w:val="1"/>
    <w:next w:val="1"/>
    <w:qFormat/>
    <w:uiPriority w:val="0"/>
    <w:pPr>
      <w:adjustRightInd w:val="0"/>
      <w:ind w:left="420" w:hanging="420"/>
      <w:jc w:val="left"/>
      <w:textAlignment w:val="baseline"/>
    </w:pPr>
    <w:rPr>
      <w:smallCaps/>
      <w:sz w:val="24"/>
    </w:rPr>
  </w:style>
  <w:style w:type="paragraph" w:styleId="47">
    <w:name w:val="toc 2"/>
    <w:basedOn w:val="1"/>
    <w:next w:val="1"/>
    <w:qFormat/>
    <w:uiPriority w:val="0"/>
    <w:pPr>
      <w:ind w:left="420"/>
    </w:pPr>
  </w:style>
  <w:style w:type="paragraph" w:styleId="48">
    <w:name w:val="toc 9"/>
    <w:basedOn w:val="1"/>
    <w:next w:val="1"/>
    <w:qFormat/>
    <w:uiPriority w:val="0"/>
    <w:pPr>
      <w:ind w:left="3360"/>
    </w:pPr>
  </w:style>
  <w:style w:type="paragraph" w:styleId="49">
    <w:name w:val="Body Text 2"/>
    <w:basedOn w:val="1"/>
    <w:next w:val="50"/>
    <w:link w:val="110"/>
    <w:qFormat/>
    <w:uiPriority w:val="0"/>
    <w:pPr>
      <w:spacing w:line="320" w:lineRule="exact"/>
      <w:ind w:right="-108"/>
      <w:jc w:val="center"/>
    </w:pPr>
    <w:rPr>
      <w:rFonts w:hAnsi="宋体" w:eastAsia="宋体"/>
      <w:kern w:val="0"/>
      <w:sz w:val="24"/>
    </w:rPr>
  </w:style>
  <w:style w:type="paragraph" w:customStyle="1" w:styleId="50">
    <w:name w:val="reader-word-layer"/>
    <w:basedOn w:val="1"/>
    <w:next w:val="1"/>
    <w:qFormat/>
    <w:uiPriority w:val="0"/>
    <w:pPr>
      <w:widowControl/>
      <w:spacing w:before="280" w:after="280"/>
    </w:pPr>
    <w:rPr>
      <w:rFonts w:ascii="宋体" w:hAnsi="宋体" w:eastAsia="宋体" w:cs="宋体"/>
      <w:kern w:val="0"/>
      <w:sz w:val="24"/>
    </w:rPr>
  </w:style>
  <w:style w:type="paragraph" w:styleId="5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2">
    <w:name w:val="Normal (Web)"/>
    <w:basedOn w:val="1"/>
    <w:qFormat/>
    <w:uiPriority w:val="0"/>
    <w:rPr>
      <w:sz w:val="24"/>
      <w:szCs w:val="24"/>
    </w:rPr>
  </w:style>
  <w:style w:type="paragraph" w:styleId="53">
    <w:name w:val="index 2"/>
    <w:basedOn w:val="1"/>
    <w:next w:val="1"/>
    <w:qFormat/>
    <w:uiPriority w:val="0"/>
    <w:pPr>
      <w:ind w:left="420"/>
    </w:pPr>
  </w:style>
  <w:style w:type="paragraph" w:styleId="54">
    <w:name w:val="annotation subject"/>
    <w:basedOn w:val="20"/>
    <w:next w:val="20"/>
    <w:qFormat/>
    <w:uiPriority w:val="0"/>
    <w:rPr>
      <w:b/>
      <w:bCs/>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rPr>
  </w:style>
  <w:style w:type="character" w:styleId="59">
    <w:name w:val="page number"/>
    <w:basedOn w:val="57"/>
    <w:qFormat/>
    <w:uiPriority w:val="0"/>
  </w:style>
  <w:style w:type="character" w:styleId="60">
    <w:name w:val="FollowedHyperlink"/>
    <w:qFormat/>
    <w:uiPriority w:val="0"/>
    <w:rPr>
      <w:color w:val="333333"/>
      <w:u w:val="none"/>
    </w:rPr>
  </w:style>
  <w:style w:type="character" w:styleId="61">
    <w:name w:val="Emphasis"/>
    <w:qFormat/>
    <w:uiPriority w:val="0"/>
    <w:rPr>
      <w:i/>
      <w:iCs/>
    </w:rPr>
  </w:style>
  <w:style w:type="character" w:styleId="62">
    <w:name w:val="line number"/>
    <w:basedOn w:val="57"/>
    <w:qFormat/>
    <w:uiPriority w:val="0"/>
  </w:style>
  <w:style w:type="character" w:styleId="63">
    <w:name w:val="HTML Definition"/>
    <w:qFormat/>
    <w:uiPriority w:val="0"/>
    <w:rPr>
      <w:i/>
    </w:rPr>
  </w:style>
  <w:style w:type="character" w:styleId="64">
    <w:name w:val="Hyperlink"/>
    <w:qFormat/>
    <w:uiPriority w:val="0"/>
    <w:rPr>
      <w:color w:val="333333"/>
      <w:u w:val="none"/>
    </w:rPr>
  </w:style>
  <w:style w:type="character" w:styleId="65">
    <w:name w:val="HTML Code"/>
    <w:qFormat/>
    <w:uiPriority w:val="0"/>
    <w:rPr>
      <w:rFonts w:hint="default" w:ascii="Menlo" w:hAnsi="Menlo" w:eastAsia="Menlo" w:cs="Menlo"/>
      <w:color w:val="C7254E"/>
      <w:sz w:val="21"/>
      <w:szCs w:val="21"/>
      <w:shd w:val="clear" w:color="auto" w:fill="F9F2F4"/>
    </w:rPr>
  </w:style>
  <w:style w:type="character" w:styleId="66">
    <w:name w:val="annotation reference"/>
    <w:qFormat/>
    <w:uiPriority w:val="0"/>
    <w:rPr>
      <w:sz w:val="21"/>
      <w:szCs w:val="21"/>
    </w:rPr>
  </w:style>
  <w:style w:type="character" w:styleId="67">
    <w:name w:val="HTML Cite"/>
    <w:qFormat/>
    <w:uiPriority w:val="0"/>
  </w:style>
  <w:style w:type="character" w:styleId="68">
    <w:name w:val="footnote reference"/>
    <w:qFormat/>
    <w:uiPriority w:val="0"/>
    <w:rPr>
      <w:vertAlign w:val="superscript"/>
    </w:rPr>
  </w:style>
  <w:style w:type="character" w:styleId="69">
    <w:name w:val="HTML Keyboard"/>
    <w:qFormat/>
    <w:uiPriority w:val="0"/>
    <w:rPr>
      <w:rFonts w:hint="default" w:ascii="Menlo" w:hAnsi="Menlo" w:eastAsia="Menlo" w:cs="Menlo"/>
      <w:sz w:val="21"/>
      <w:szCs w:val="21"/>
    </w:rPr>
  </w:style>
  <w:style w:type="character" w:styleId="70">
    <w:name w:val="HTML Sample"/>
    <w:qFormat/>
    <w:uiPriority w:val="0"/>
    <w:rPr>
      <w:rFonts w:ascii="Menlo" w:hAnsi="Menlo" w:eastAsia="Menlo" w:cs="Menlo"/>
      <w:sz w:val="21"/>
      <w:szCs w:val="21"/>
    </w:rPr>
  </w:style>
  <w:style w:type="character" w:customStyle="1" w:styleId="71">
    <w:name w:val="标题 2 Char"/>
    <w:link w:val="7"/>
    <w:qFormat/>
    <w:uiPriority w:val="0"/>
    <w:rPr>
      <w:rFonts w:ascii="宋体" w:hAnsi="宋体" w:eastAsia="楷体_GB2312"/>
      <w:b/>
      <w:kern w:val="2"/>
      <w:sz w:val="26"/>
      <w:lang w:val="en-US" w:eastAsia="zh-CN" w:bidi="ar-SA"/>
    </w:rPr>
  </w:style>
  <w:style w:type="character" w:customStyle="1" w:styleId="72">
    <w:name w:val="正文文本 3 Char"/>
    <w:link w:val="23"/>
    <w:qFormat/>
    <w:uiPriority w:val="0"/>
    <w:rPr>
      <w:rFonts w:hAnsi="宋体" w:cs="宋体"/>
      <w:color w:val="000000"/>
      <w:sz w:val="24"/>
    </w:rPr>
  </w:style>
  <w:style w:type="character" w:customStyle="1" w:styleId="73">
    <w:name w:val="bds_more7"/>
    <w:basedOn w:val="57"/>
    <w:qFormat/>
    <w:uiPriority w:val="0"/>
  </w:style>
  <w:style w:type="character" w:customStyle="1" w:styleId="74">
    <w:name w:val="noused"/>
    <w:qFormat/>
    <w:uiPriority w:val="0"/>
    <w:rPr>
      <w:b/>
      <w:color w:val="FFFFFF"/>
      <w:sz w:val="21"/>
      <w:szCs w:val="21"/>
    </w:rPr>
  </w:style>
  <w:style w:type="character" w:customStyle="1" w:styleId="75">
    <w:name w:val="state"/>
    <w:qFormat/>
    <w:uiPriority w:val="0"/>
    <w:rPr>
      <w:b/>
      <w:color w:val="FFFFFF"/>
      <w:sz w:val="19"/>
      <w:szCs w:val="19"/>
    </w:rPr>
  </w:style>
  <w:style w:type="character" w:customStyle="1" w:styleId="76">
    <w:name w:val="bds_nopic2"/>
    <w:basedOn w:val="57"/>
    <w:qFormat/>
    <w:uiPriority w:val="0"/>
  </w:style>
  <w:style w:type="character" w:customStyle="1" w:styleId="77">
    <w:name w:val="正文文本缩进 Char"/>
    <w:link w:val="3"/>
    <w:qFormat/>
    <w:uiPriority w:val="0"/>
    <w:rPr>
      <w:rFonts w:ascii="方正仿宋简体" w:hAnsi="创艺简仿宋" w:eastAsia="方正仿宋简体"/>
      <w:kern w:val="2"/>
      <w:sz w:val="24"/>
      <w:lang w:val="en-US" w:eastAsia="zh-CN" w:bidi="ar-SA"/>
    </w:rPr>
  </w:style>
  <w:style w:type="character" w:customStyle="1" w:styleId="78">
    <w:name w:val="hilite"/>
    <w:qFormat/>
    <w:uiPriority w:val="0"/>
    <w:rPr>
      <w:color w:val="FFFFFF"/>
      <w:shd w:val="clear" w:color="auto" w:fill="776666"/>
    </w:rPr>
  </w:style>
  <w:style w:type="character" w:customStyle="1" w:styleId="79">
    <w:name w:val="标题 1 Char"/>
    <w:qFormat/>
    <w:uiPriority w:val="0"/>
    <w:rPr>
      <w:b/>
      <w:sz w:val="20"/>
    </w:rPr>
  </w:style>
  <w:style w:type="character" w:customStyle="1" w:styleId="80">
    <w:name w:val="样式3 Char Char Char Char"/>
    <w:qFormat/>
    <w:uiPriority w:val="0"/>
    <w:rPr>
      <w:b/>
      <w:sz w:val="20"/>
    </w:rPr>
  </w:style>
  <w:style w:type="character" w:customStyle="1" w:styleId="81">
    <w:name w:val="标题 Char"/>
    <w:qFormat/>
    <w:uiPriority w:val="0"/>
    <w:rPr>
      <w:b/>
      <w:sz w:val="20"/>
    </w:rPr>
  </w:style>
  <w:style w:type="character" w:customStyle="1" w:styleId="82">
    <w:name w:val="active8"/>
    <w:qFormat/>
    <w:uiPriority w:val="0"/>
    <w:rPr>
      <w:color w:val="00FF00"/>
      <w:shd w:val="clear" w:color="auto" w:fill="000000"/>
    </w:rPr>
  </w:style>
  <w:style w:type="character" w:customStyle="1" w:styleId="83">
    <w:name w:val="Char Char2"/>
    <w:qFormat/>
    <w:uiPriority w:val="0"/>
    <w:rPr>
      <w:rFonts w:ascii="宋体" w:hAnsi="宋体" w:eastAsia="楷体_GB2312"/>
      <w:b/>
      <w:kern w:val="2"/>
      <w:sz w:val="26"/>
      <w:lang w:val="en-US" w:eastAsia="zh-CN" w:bidi="ar-SA"/>
    </w:rPr>
  </w:style>
  <w:style w:type="character" w:customStyle="1" w:styleId="84">
    <w:name w:val="bds_nopic"/>
    <w:basedOn w:val="57"/>
    <w:qFormat/>
    <w:uiPriority w:val="0"/>
  </w:style>
  <w:style w:type="character" w:customStyle="1" w:styleId="85">
    <w:name w:val="active"/>
    <w:qFormat/>
    <w:uiPriority w:val="0"/>
    <w:rPr>
      <w:color w:val="00FF00"/>
      <w:shd w:val="clear" w:color="auto" w:fill="000000"/>
    </w:rPr>
  </w:style>
  <w:style w:type="character" w:customStyle="1" w:styleId="86">
    <w:name w:val="bds_more6"/>
    <w:basedOn w:val="57"/>
    <w:qFormat/>
    <w:uiPriority w:val="0"/>
  </w:style>
  <w:style w:type="character" w:customStyle="1" w:styleId="87">
    <w:name w:val="页眉 Char"/>
    <w:link w:val="35"/>
    <w:qFormat/>
    <w:uiPriority w:val="0"/>
    <w:rPr>
      <w:rFonts w:eastAsia="楷体_GB2312"/>
      <w:kern w:val="2"/>
      <w:sz w:val="18"/>
    </w:rPr>
  </w:style>
  <w:style w:type="character" w:customStyle="1" w:styleId="88">
    <w:name w:val="bds_more4"/>
    <w:qFormat/>
    <w:uiPriority w:val="0"/>
    <w:rPr>
      <w:rFonts w:hint="eastAsia" w:ascii="宋体" w:hAnsi="宋体" w:eastAsia="宋体" w:cs="宋体"/>
    </w:rPr>
  </w:style>
  <w:style w:type="character" w:customStyle="1" w:styleId="89">
    <w:name w:val="明显引用 Char"/>
    <w:link w:val="90"/>
    <w:qFormat/>
    <w:uiPriority w:val="0"/>
    <w:rPr>
      <w:rFonts w:hAnsi="宋体" w:cs="宋体"/>
      <w:b/>
      <w:i/>
      <w:color w:val="4F81BD"/>
      <w:sz w:val="22"/>
    </w:rPr>
  </w:style>
  <w:style w:type="paragraph" w:styleId="90">
    <w:name w:val="Intense Quote"/>
    <w:basedOn w:val="1"/>
    <w:next w:val="1"/>
    <w:link w:val="89"/>
    <w:qFormat/>
    <w:uiPriority w:val="0"/>
    <w:pPr>
      <w:spacing w:before="200" w:after="280"/>
      <w:ind w:left="936" w:right="936"/>
    </w:pPr>
    <w:rPr>
      <w:rFonts w:hAnsi="宋体" w:eastAsia="宋体"/>
      <w:b/>
      <w:i/>
      <w:color w:val="4F81BD"/>
      <w:kern w:val="0"/>
      <w:sz w:val="22"/>
    </w:rPr>
  </w:style>
  <w:style w:type="character" w:customStyle="1" w:styleId="91">
    <w:name w:val="font01"/>
    <w:qFormat/>
    <w:uiPriority w:val="0"/>
    <w:rPr>
      <w:rFonts w:hint="default" w:ascii="Times New Roman" w:hAnsi="Times New Roman" w:cs="Times New Roman"/>
      <w:color w:val="000000"/>
      <w:sz w:val="24"/>
      <w:szCs w:val="24"/>
      <w:u w:val="none"/>
    </w:rPr>
  </w:style>
  <w:style w:type="character" w:customStyle="1" w:styleId="92">
    <w:name w:val="font61"/>
    <w:qFormat/>
    <w:uiPriority w:val="0"/>
    <w:rPr>
      <w:rFonts w:hint="eastAsia" w:ascii="宋体" w:hAnsi="宋体" w:eastAsia="宋体" w:cs="宋体"/>
      <w:color w:val="000000"/>
      <w:sz w:val="24"/>
      <w:szCs w:val="24"/>
      <w:u w:val="none"/>
    </w:rPr>
  </w:style>
  <w:style w:type="character" w:customStyle="1" w:styleId="93">
    <w:name w:val="引用 Char"/>
    <w:link w:val="94"/>
    <w:qFormat/>
    <w:uiPriority w:val="0"/>
    <w:rPr>
      <w:rFonts w:hAnsi="宋体" w:cs="宋体"/>
      <w:i/>
      <w:color w:val="000000"/>
      <w:sz w:val="22"/>
    </w:rPr>
  </w:style>
  <w:style w:type="paragraph" w:styleId="94">
    <w:name w:val="Quote"/>
    <w:basedOn w:val="1"/>
    <w:next w:val="1"/>
    <w:link w:val="93"/>
    <w:qFormat/>
    <w:uiPriority w:val="0"/>
    <w:rPr>
      <w:rFonts w:hAnsi="宋体" w:eastAsia="宋体"/>
      <w:i/>
      <w:color w:val="000000"/>
      <w:kern w:val="0"/>
      <w:sz w:val="22"/>
    </w:rPr>
  </w:style>
  <w:style w:type="character" w:customStyle="1" w:styleId="95">
    <w:name w:val="hilite6"/>
    <w:qFormat/>
    <w:uiPriority w:val="0"/>
    <w:rPr>
      <w:color w:val="FFFFFF"/>
      <w:shd w:val="clear" w:color="auto" w:fill="776666"/>
    </w:rPr>
  </w:style>
  <w:style w:type="character" w:customStyle="1" w:styleId="96">
    <w:name w:val="批注文字 Char"/>
    <w:qFormat/>
    <w:uiPriority w:val="0"/>
    <w:rPr>
      <w:rFonts w:eastAsia="楷体_GB2312"/>
      <w:kern w:val="2"/>
      <w:sz w:val="26"/>
    </w:rPr>
  </w:style>
  <w:style w:type="character" w:customStyle="1" w:styleId="97">
    <w:name w:val="Char Char10"/>
    <w:qFormat/>
    <w:uiPriority w:val="0"/>
    <w:rPr>
      <w:sz w:val="20"/>
    </w:rPr>
  </w:style>
  <w:style w:type="character" w:customStyle="1" w:styleId="98">
    <w:name w:val="纯文本 Char"/>
    <w:link w:val="28"/>
    <w:qFormat/>
    <w:uiPriority w:val="0"/>
    <w:rPr>
      <w:rFonts w:ascii="宋体" w:hAnsi="Courier New" w:eastAsia="楷体_GB2312"/>
      <w:kern w:val="2"/>
      <w:sz w:val="26"/>
      <w:lang w:val="en-US" w:eastAsia="zh-CN" w:bidi="ar-SA"/>
    </w:rPr>
  </w:style>
  <w:style w:type="character" w:customStyle="1" w:styleId="99">
    <w:name w:val="font41"/>
    <w:qFormat/>
    <w:uiPriority w:val="0"/>
    <w:rPr>
      <w:rFonts w:hint="eastAsia" w:ascii="宋体" w:hAnsi="宋体" w:eastAsia="宋体" w:cs="宋体"/>
      <w:color w:val="000000"/>
      <w:sz w:val="22"/>
      <w:szCs w:val="22"/>
      <w:u w:val="none"/>
    </w:rPr>
  </w:style>
  <w:style w:type="character" w:customStyle="1" w:styleId="100">
    <w:name w:val="other"/>
    <w:basedOn w:val="57"/>
    <w:qFormat/>
    <w:uiPriority w:val="0"/>
  </w:style>
  <w:style w:type="character" w:customStyle="1" w:styleId="101">
    <w:name w:val="标题 4 Char"/>
    <w:link w:val="9"/>
    <w:qFormat/>
    <w:uiPriority w:val="0"/>
    <w:rPr>
      <w:rFonts w:ascii="Arial" w:hAnsi="宋体" w:eastAsia="黑体" w:cs="宋体"/>
      <w:b/>
      <w:sz w:val="28"/>
    </w:rPr>
  </w:style>
  <w:style w:type="character" w:customStyle="1" w:styleId="102">
    <w:name w:val="grid"/>
    <w:basedOn w:val="57"/>
    <w:qFormat/>
    <w:uiPriority w:val="0"/>
  </w:style>
  <w:style w:type="character" w:customStyle="1" w:styleId="103">
    <w:name w:val="grid2"/>
    <w:basedOn w:val="57"/>
    <w:qFormat/>
    <w:uiPriority w:val="0"/>
  </w:style>
  <w:style w:type="character" w:customStyle="1" w:styleId="104">
    <w:name w:val="正文缩进2格 Char Char"/>
    <w:link w:val="105"/>
    <w:qFormat/>
    <w:uiPriority w:val="0"/>
    <w:rPr>
      <w:rFonts w:ascii="仿宋_GB2312" w:hAnsi="宋体" w:eastAsia="仿宋_GB2312"/>
      <w:kern w:val="2"/>
      <w:sz w:val="31"/>
      <w:szCs w:val="28"/>
    </w:rPr>
  </w:style>
  <w:style w:type="paragraph" w:customStyle="1" w:styleId="105">
    <w:name w:val="正文缩进2格"/>
    <w:basedOn w:val="1"/>
    <w:link w:val="104"/>
    <w:qFormat/>
    <w:uiPriority w:val="0"/>
    <w:pPr>
      <w:spacing w:line="600" w:lineRule="exact"/>
      <w:ind w:firstLine="639" w:firstLineChars="206"/>
    </w:pPr>
    <w:rPr>
      <w:rFonts w:ascii="仿宋_GB2312" w:hAnsi="宋体" w:eastAsia="仿宋_GB2312"/>
      <w:sz w:val="31"/>
      <w:szCs w:val="28"/>
    </w:rPr>
  </w:style>
  <w:style w:type="character" w:customStyle="1" w:styleId="106">
    <w:name w:val="正文缩进 Char"/>
    <w:link w:val="11"/>
    <w:qFormat/>
    <w:uiPriority w:val="0"/>
    <w:rPr>
      <w:rFonts w:eastAsia="楷体_GB2312"/>
      <w:kern w:val="2"/>
      <w:sz w:val="24"/>
      <w:lang w:val="en-US" w:eastAsia="zh-CN" w:bidi="ar-SA"/>
    </w:rPr>
  </w:style>
  <w:style w:type="character" w:customStyle="1" w:styleId="107">
    <w:name w:val="font21"/>
    <w:qFormat/>
    <w:uiPriority w:val="0"/>
    <w:rPr>
      <w:rFonts w:hint="default" w:ascii="Times New Roman" w:hAnsi="Times New Roman" w:cs="Times New Roman"/>
      <w:color w:val="000000"/>
      <w:sz w:val="24"/>
      <w:szCs w:val="24"/>
      <w:u w:val="none"/>
    </w:rPr>
  </w:style>
  <w:style w:type="character" w:customStyle="1" w:styleId="108">
    <w:name w:val="Char Char15"/>
    <w:qFormat/>
    <w:uiPriority w:val="0"/>
    <w:rPr>
      <w:sz w:val="20"/>
    </w:rPr>
  </w:style>
  <w:style w:type="character" w:customStyle="1" w:styleId="109">
    <w:name w:val="bds_more8"/>
    <w:qFormat/>
    <w:uiPriority w:val="0"/>
    <w:rPr>
      <w:rFonts w:hint="eastAsia" w:ascii="宋体" w:hAnsi="宋体" w:eastAsia="宋体" w:cs="宋体"/>
    </w:rPr>
  </w:style>
  <w:style w:type="character" w:customStyle="1" w:styleId="110">
    <w:name w:val="正文文本 2 Char"/>
    <w:link w:val="49"/>
    <w:qFormat/>
    <w:uiPriority w:val="0"/>
    <w:rPr>
      <w:rFonts w:hAnsi="宋体" w:cs="宋体"/>
      <w:sz w:val="24"/>
    </w:rPr>
  </w:style>
  <w:style w:type="character" w:customStyle="1" w:styleId="111">
    <w:name w:val="副标题 Char"/>
    <w:link w:val="41"/>
    <w:qFormat/>
    <w:uiPriority w:val="0"/>
    <w:rPr>
      <w:rFonts w:ascii="Cambria" w:hAnsi="宋体" w:cs="宋体"/>
      <w:b/>
      <w:sz w:val="32"/>
    </w:rPr>
  </w:style>
  <w:style w:type="character" w:customStyle="1" w:styleId="112">
    <w:name w:val="font11"/>
    <w:qFormat/>
    <w:uiPriority w:val="0"/>
    <w:rPr>
      <w:rFonts w:hint="eastAsia" w:ascii="宋体" w:hAnsi="宋体" w:eastAsia="宋体" w:cs="宋体"/>
      <w:color w:val="000000"/>
      <w:sz w:val="18"/>
      <w:szCs w:val="18"/>
      <w:u w:val="none"/>
    </w:rPr>
  </w:style>
  <w:style w:type="character" w:customStyle="1" w:styleId="113">
    <w:name w:val="页脚 Char"/>
    <w:link w:val="34"/>
    <w:qFormat/>
    <w:uiPriority w:val="99"/>
    <w:rPr>
      <w:rFonts w:eastAsia="楷体_GB2312"/>
      <w:kern w:val="2"/>
      <w:sz w:val="18"/>
    </w:rPr>
  </w:style>
  <w:style w:type="character" w:customStyle="1" w:styleId="114">
    <w:name w:val="font51"/>
    <w:qFormat/>
    <w:uiPriority w:val="0"/>
    <w:rPr>
      <w:rFonts w:hint="eastAsia" w:ascii="宋体" w:hAnsi="宋体" w:eastAsia="宋体" w:cs="宋体"/>
      <w:color w:val="000000"/>
      <w:sz w:val="22"/>
      <w:szCs w:val="22"/>
      <w:u w:val="none"/>
    </w:rPr>
  </w:style>
  <w:style w:type="character" w:customStyle="1" w:styleId="115">
    <w:name w:val="bds_nopic1"/>
    <w:basedOn w:val="57"/>
    <w:qFormat/>
    <w:uiPriority w:val="0"/>
  </w:style>
  <w:style w:type="character" w:customStyle="1" w:styleId="116">
    <w:name w:val="hover61"/>
    <w:qFormat/>
    <w:uiPriority w:val="0"/>
    <w:rPr>
      <w:shd w:val="clear" w:color="auto" w:fill="FF0000"/>
    </w:rPr>
  </w:style>
  <w:style w:type="character" w:customStyle="1" w:styleId="117">
    <w:name w:val="Char Char21"/>
    <w:qFormat/>
    <w:uiPriority w:val="0"/>
    <w:rPr>
      <w:b/>
      <w:sz w:val="20"/>
    </w:rPr>
  </w:style>
  <w:style w:type="character" w:customStyle="1" w:styleId="118">
    <w:name w:val="批注文字 Char1"/>
    <w:link w:val="20"/>
    <w:qFormat/>
    <w:uiPriority w:val="0"/>
    <w:rPr>
      <w:rFonts w:eastAsia="楷体_GB2312"/>
      <w:kern w:val="2"/>
      <w:sz w:val="26"/>
    </w:rPr>
  </w:style>
  <w:style w:type="character" w:customStyle="1" w:styleId="119">
    <w:name w:val="称呼 Char"/>
    <w:link w:val="22"/>
    <w:qFormat/>
    <w:uiPriority w:val="0"/>
    <w:rPr>
      <w:rFonts w:hAnsi="宋体" w:cs="宋体"/>
      <w:sz w:val="30"/>
    </w:rPr>
  </w:style>
  <w:style w:type="character" w:customStyle="1" w:styleId="120">
    <w:name w:val="bds_more5"/>
    <w:basedOn w:val="57"/>
    <w:qFormat/>
    <w:uiPriority w:val="0"/>
  </w:style>
  <w:style w:type="paragraph" w:styleId="121">
    <w:name w:val="List Paragraph"/>
    <w:basedOn w:val="1"/>
    <w:qFormat/>
    <w:uiPriority w:val="34"/>
    <w:pPr>
      <w:ind w:firstLine="420" w:firstLineChars="200"/>
    </w:pPr>
    <w:rPr>
      <w:rFonts w:eastAsia="宋体"/>
      <w:sz w:val="21"/>
      <w:szCs w:val="24"/>
    </w:rPr>
  </w:style>
  <w:style w:type="paragraph" w:customStyle="1" w:styleId="122">
    <w:name w:val="flType"/>
    <w:basedOn w:val="1"/>
    <w:qFormat/>
    <w:uiPriority w:val="0"/>
    <w:pPr>
      <w:adjustRightInd w:val="0"/>
      <w:spacing w:after="284" w:line="113" w:lineRule="atLeast"/>
      <w:jc w:val="center"/>
    </w:pPr>
    <w:rPr>
      <w:kern w:val="0"/>
      <w:sz w:val="24"/>
    </w:rPr>
  </w:style>
  <w:style w:type="paragraph" w:customStyle="1" w:styleId="123">
    <w:name w:val="纯文本1"/>
    <w:basedOn w:val="1"/>
    <w:qFormat/>
    <w:uiPriority w:val="0"/>
    <w:pPr>
      <w:adjustRightInd w:val="0"/>
      <w:textAlignment w:val="baseline"/>
    </w:pPr>
    <w:rPr>
      <w:rFonts w:ascii="宋体" w:hAnsi="Courier New"/>
      <w:sz w:val="28"/>
    </w:rPr>
  </w:style>
  <w:style w:type="paragraph" w:customStyle="1" w:styleId="124">
    <w:name w:val="段落"/>
    <w:basedOn w:val="1"/>
    <w:qFormat/>
    <w:uiPriority w:val="0"/>
    <w:pPr>
      <w:ind w:firstLine="420" w:firstLineChars="200"/>
    </w:pPr>
    <w:rPr>
      <w:rFonts w:ascii="宋体" w:hAnsi="宋体" w:eastAsia="宋体"/>
      <w:color w:val="000000"/>
      <w:sz w:val="21"/>
    </w:rPr>
  </w:style>
  <w:style w:type="paragraph" w:customStyle="1" w:styleId="125">
    <w:name w:val="Heading 41"/>
    <w:basedOn w:val="1"/>
    <w:qFormat/>
    <w:uiPriority w:val="0"/>
    <w:pPr>
      <w:jc w:val="left"/>
      <w:outlineLvl w:val="4"/>
    </w:pPr>
    <w:rPr>
      <w:rFonts w:ascii="宋体" w:hAnsi="宋体" w:cs="宋体"/>
      <w:kern w:val="0"/>
      <w:sz w:val="32"/>
      <w:szCs w:val="32"/>
      <w:lang w:eastAsia="en-US"/>
    </w:rPr>
  </w:style>
  <w:style w:type="paragraph" w:customStyle="1" w:styleId="126">
    <w:name w:val="Char Char1 Char Char Char Char Char Char Char"/>
    <w:basedOn w:val="1"/>
    <w:qFormat/>
    <w:uiPriority w:val="0"/>
    <w:rPr>
      <w:rFonts w:ascii="Tahoma" w:hAnsi="Tahoma"/>
      <w:sz w:val="24"/>
    </w:rPr>
  </w:style>
  <w:style w:type="paragraph" w:customStyle="1" w:styleId="127">
    <w:name w:val="Table Paragraph"/>
    <w:basedOn w:val="1"/>
    <w:qFormat/>
    <w:uiPriority w:val="1"/>
    <w:pPr>
      <w:jc w:val="left"/>
    </w:pPr>
    <w:rPr>
      <w:rFonts w:ascii="Calibri" w:hAnsi="Calibri" w:cs="Calibri"/>
      <w:kern w:val="0"/>
      <w:sz w:val="22"/>
      <w:szCs w:val="22"/>
      <w:lang w:eastAsia="en-US"/>
    </w:rPr>
  </w:style>
  <w:style w:type="paragraph" w:customStyle="1" w:styleId="128">
    <w:name w:val="张勋节格式居中"/>
    <w:qFormat/>
    <w:uiPriority w:val="0"/>
    <w:pPr>
      <w:adjustRightInd w:val="0"/>
      <w:snapToGrid w:val="0"/>
      <w:spacing w:before="100" w:beforeAutospacing="1" w:after="100" w:afterAutospacing="1" w:line="360" w:lineRule="exact"/>
      <w:ind w:firstLine="480"/>
      <w:jc w:val="center"/>
      <w:textAlignment w:val="center"/>
    </w:pPr>
    <w:rPr>
      <w:rFonts w:ascii="宋体" w:hAnsi="Times New Roman" w:eastAsia="宋体" w:cs="宋体"/>
      <w:b/>
      <w:kern w:val="2"/>
      <w:sz w:val="28"/>
      <w:szCs w:val="28"/>
      <w:lang w:val="zh-CN" w:eastAsia="zh-CN" w:bidi="ar-SA"/>
    </w:rPr>
  </w:style>
  <w:style w:type="paragraph" w:customStyle="1" w:styleId="12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30">
    <w:name w:val="小条"/>
    <w:basedOn w:val="124"/>
    <w:qFormat/>
    <w:uiPriority w:val="0"/>
    <w:pPr>
      <w:ind w:firstLine="0" w:firstLineChars="0"/>
    </w:pPr>
    <w:rPr>
      <w:rFonts w:ascii="Times New Roman"/>
      <w:color w:val="auto"/>
    </w:rPr>
  </w:style>
  <w:style w:type="paragraph" w:customStyle="1" w:styleId="131">
    <w:name w:val="Char Char1 Char Char Char Char"/>
    <w:basedOn w:val="19"/>
    <w:qFormat/>
    <w:uiPriority w:val="0"/>
    <w:pPr>
      <w:adjustRightInd w:val="0"/>
      <w:snapToGrid w:val="0"/>
      <w:spacing w:line="360" w:lineRule="auto"/>
    </w:pPr>
    <w:rPr>
      <w:rFonts w:ascii="Tahoma" w:hAnsi="Tahoma" w:eastAsia="宋体"/>
      <w:sz w:val="24"/>
      <w:szCs w:val="24"/>
    </w:rPr>
  </w:style>
  <w:style w:type="paragraph" w:customStyle="1" w:styleId="132">
    <w:name w:val="p0"/>
    <w:basedOn w:val="1"/>
    <w:qFormat/>
    <w:uiPriority w:val="0"/>
    <w:pPr>
      <w:widowControl/>
    </w:pPr>
    <w:rPr>
      <w:rFonts w:eastAsia="宋体"/>
      <w:kern w:val="0"/>
      <w:sz w:val="21"/>
      <w:szCs w:val="21"/>
    </w:rPr>
  </w:style>
  <w:style w:type="paragraph" w:customStyle="1" w:styleId="133">
    <w:name w:val="Char1"/>
    <w:basedOn w:val="1"/>
    <w:qFormat/>
    <w:uiPriority w:val="0"/>
    <w:rPr>
      <w:rFonts w:ascii="Tahoma" w:hAnsi="Tahoma" w:eastAsia="宋体"/>
      <w:sz w:val="24"/>
    </w:rPr>
  </w:style>
  <w:style w:type="paragraph" w:customStyle="1" w:styleId="134">
    <w:name w:val="纯文本2"/>
    <w:basedOn w:val="1"/>
    <w:qFormat/>
    <w:uiPriority w:val="0"/>
    <w:pPr>
      <w:adjustRightInd w:val="0"/>
      <w:textAlignment w:val="baseline"/>
    </w:pPr>
    <w:rPr>
      <w:rFonts w:ascii="宋体" w:hAnsi="Courier New"/>
    </w:rPr>
  </w:style>
  <w:style w:type="paragraph" w:customStyle="1" w:styleId="135">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36">
    <w:name w:val="列出段落1"/>
    <w:basedOn w:val="1"/>
    <w:qFormat/>
    <w:uiPriority w:val="0"/>
    <w:pPr>
      <w:ind w:firstLine="420" w:firstLineChars="200"/>
    </w:pPr>
    <w:rPr>
      <w:rFonts w:ascii="Calibri" w:hAnsi="Calibri" w:eastAsia="宋体" w:cs="黑体"/>
      <w:szCs w:val="22"/>
    </w:rPr>
  </w:style>
  <w:style w:type="paragraph" w:customStyle="1" w:styleId="137">
    <w:name w:val="Heading 71"/>
    <w:basedOn w:val="1"/>
    <w:qFormat/>
    <w:uiPriority w:val="0"/>
    <w:pPr>
      <w:jc w:val="left"/>
      <w:outlineLvl w:val="7"/>
    </w:pPr>
    <w:rPr>
      <w:rFonts w:ascii="宋体" w:hAnsi="宋体" w:cs="宋体"/>
      <w:kern w:val="0"/>
      <w:sz w:val="28"/>
      <w:szCs w:val="28"/>
      <w:lang w:eastAsia="en-US"/>
    </w:rPr>
  </w:style>
  <w:style w:type="paragraph" w:customStyle="1" w:styleId="138">
    <w:name w:val="修订1"/>
    <w:hidden/>
    <w:unhideWhenUsed/>
    <w:qFormat/>
    <w:uiPriority w:val="99"/>
    <w:rPr>
      <w:rFonts w:ascii="Times New Roman" w:hAnsi="Times New Roman" w:eastAsia="楷体_GB2312" w:cs="Times New Roman"/>
      <w:kern w:val="2"/>
      <w:sz w:val="26"/>
      <w:lang w:val="en-US" w:eastAsia="zh-CN" w:bidi="ar-SA"/>
    </w:rPr>
  </w:style>
  <w:style w:type="paragraph" w:customStyle="1" w:styleId="139">
    <w:name w:val="无间隔1"/>
    <w:qFormat/>
    <w:uiPriority w:val="0"/>
    <w:rPr>
      <w:rFonts w:ascii="Times New Roman" w:hAnsi="Times New Roman" w:eastAsia="宋体" w:cs="Times New Roman"/>
      <w:sz w:val="22"/>
      <w:szCs w:val="22"/>
      <w:lang w:val="en-US" w:eastAsia="en-US" w:bidi="en-US"/>
    </w:rPr>
  </w:style>
  <w:style w:type="character" w:customStyle="1" w:styleId="140">
    <w:name w:val="font31"/>
    <w:basedOn w:val="57"/>
    <w:qFormat/>
    <w:uiPriority w:val="0"/>
    <w:rPr>
      <w:rFonts w:hint="eastAsia" w:ascii="宋体" w:hAnsi="宋体" w:eastAsia="宋体" w:cs="宋体"/>
      <w:color w:val="000000"/>
      <w:sz w:val="24"/>
      <w:szCs w:val="24"/>
      <w:u w:val="none"/>
    </w:rPr>
  </w:style>
  <w:style w:type="table" w:customStyle="1" w:styleId="141">
    <w:name w:val="网格型1"/>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2">
    <w:name w:val="网格型2"/>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95;&#29702;\&#39033;&#30446;\2021&#24180;&#24230;\&#19977;&#23395;&#24230;\88-&#32858;&#36132;&#20844;&#23507;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3A4B-9796-4C97-B617-D856F18B6E5D}">
  <ds:schemaRefs/>
</ds:datastoreItem>
</file>

<file path=docProps/app.xml><?xml version="1.0" encoding="utf-8"?>
<Properties xmlns="http://schemas.openxmlformats.org/officeDocument/2006/extended-properties" xmlns:vt="http://schemas.openxmlformats.org/officeDocument/2006/docPropsVTypes">
  <Template>88-聚贤公寓10</Template>
  <Pages>43</Pages>
  <Words>21561</Words>
  <Characters>22772</Characters>
  <Lines>183</Lines>
  <Paragraphs>51</Paragraphs>
  <TotalTime>2</TotalTime>
  <ScaleCrop>false</ScaleCrop>
  <LinksUpToDate>false</LinksUpToDate>
  <CharactersWithSpaces>23919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2022-05-12T03:02:00Z</dcterms:created>
  <dc:creator>国衡南通</dc:creator>
  <cp:lastModifiedBy>YLL</cp:lastModifiedBy>
  <cp:lastPrinted>2022-11-16T08:49:00Z</cp:lastPrinted>
  <dcterms:modified xsi:type="dcterms:W3CDTF">2022-12-20T02:16:49Z</dcterms:modified>
  <dc:title>崇川区政府采购</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8BF5ED2BED8847EC80242CA6302174F4</vt:lpwstr>
  </property>
</Properties>
</file>